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kern w:val="0"/>
          <w:sz w:val="28"/>
          <w:szCs w:val="32"/>
          <w:lang w:bidi="en-US"/>
        </w:rPr>
      </w:pPr>
      <w:r>
        <w:rPr>
          <w:rFonts w:hint="eastAsia" w:ascii="Arial" w:hAnsi="Arial" w:cs="Arial"/>
          <w:b/>
          <w:kern w:val="0"/>
          <w:sz w:val="28"/>
          <w:szCs w:val="32"/>
          <w:lang w:bidi="en-US"/>
        </w:rPr>
        <w:t>202</w:t>
      </w:r>
      <w:r>
        <w:rPr>
          <w:rFonts w:hint="eastAsia" w:ascii="Arial" w:hAnsi="Arial" w:cs="Arial"/>
          <w:b/>
          <w:kern w:val="0"/>
          <w:sz w:val="28"/>
          <w:szCs w:val="32"/>
          <w:lang w:val="en-US" w:eastAsia="zh-CN" w:bidi="en-US"/>
        </w:rPr>
        <w:t>5</w:t>
      </w:r>
      <w:r>
        <w:rPr>
          <w:rFonts w:hint="eastAsia" w:ascii="Arial" w:hAnsi="Arial" w:cs="Arial"/>
          <w:b/>
          <w:kern w:val="0"/>
          <w:sz w:val="28"/>
          <w:szCs w:val="32"/>
          <w:lang w:bidi="en-US"/>
        </w:rPr>
        <w:t>年期刊报纸数据库服务</w:t>
      </w:r>
      <w:r>
        <w:rPr>
          <w:rFonts w:hint="eastAsia" w:ascii="Arial" w:hAnsi="Arial" w:cs="Arial"/>
          <w:b/>
          <w:kern w:val="0"/>
          <w:sz w:val="28"/>
          <w:szCs w:val="32"/>
          <w:lang w:val="en-US" w:eastAsia="zh-CN" w:bidi="en-US"/>
        </w:rPr>
        <w:t>采购</w:t>
      </w:r>
      <w:r>
        <w:rPr>
          <w:rFonts w:hint="eastAsia" w:ascii="Arial" w:hAnsi="Arial" w:cs="Arial"/>
          <w:b/>
          <w:kern w:val="0"/>
          <w:sz w:val="28"/>
          <w:szCs w:val="32"/>
          <w:lang w:bidi="en-US"/>
        </w:rPr>
        <w:t>项目</w:t>
      </w:r>
      <w:r>
        <w:rPr>
          <w:rFonts w:ascii="Arial" w:hAnsi="Arial" w:cs="Arial"/>
          <w:b/>
          <w:kern w:val="0"/>
          <w:sz w:val="28"/>
          <w:szCs w:val="32"/>
          <w:lang w:bidi="en-US"/>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12</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26</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202</w:t>
      </w:r>
      <w:r>
        <w:rPr>
          <w:rFonts w:hint="eastAsia" w:ascii="Arial" w:hAnsi="Arial" w:cs="Arial"/>
          <w:bCs/>
          <w:color w:val="auto"/>
          <w:kern w:val="0"/>
          <w:sz w:val="24"/>
          <w:szCs w:val="28"/>
          <w:lang w:val="en-US" w:eastAsia="zh-CN" w:bidi="en-US"/>
        </w:rPr>
        <w:t>5</w:t>
      </w:r>
      <w:r>
        <w:rPr>
          <w:rFonts w:hint="eastAsia" w:ascii="Arial" w:hAnsi="Arial" w:cs="Arial"/>
          <w:bCs/>
          <w:color w:val="auto"/>
          <w:kern w:val="0"/>
          <w:sz w:val="24"/>
          <w:szCs w:val="28"/>
          <w:lang w:bidi="en-US"/>
        </w:rPr>
        <w:t>年期刊报纸数据库服务项目采购</w:t>
      </w:r>
      <w:bookmarkStart w:id="55" w:name="_GoBack"/>
      <w:bookmarkEnd w:id="55"/>
    </w:p>
    <w:p w14:paraId="4F39A208">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bidi="en-US"/>
        </w:rPr>
        <w:t>陆万</w:t>
      </w:r>
      <w:r>
        <w:rPr>
          <w:rFonts w:ascii="Arial" w:hAnsi="Arial" w:cs="Arial"/>
          <w:bCs/>
          <w:color w:val="auto"/>
          <w:kern w:val="0"/>
          <w:sz w:val="24"/>
          <w:szCs w:val="28"/>
          <w:lang w:bidi="en-US"/>
        </w:rPr>
        <w:t>元整（¥</w:t>
      </w:r>
      <w:r>
        <w:rPr>
          <w:rFonts w:hint="eastAsia" w:ascii="Arial" w:hAnsi="Arial" w:cs="Arial"/>
          <w:bCs/>
          <w:color w:val="auto"/>
          <w:kern w:val="0"/>
          <w:sz w:val="24"/>
          <w:szCs w:val="28"/>
          <w:lang w:bidi="en-US"/>
        </w:rPr>
        <w:t>60000.00</w:t>
      </w:r>
      <w:r>
        <w:rPr>
          <w:rFonts w:ascii="Arial" w:hAnsi="Arial" w:cs="Arial"/>
          <w:bCs/>
          <w:color w:val="auto"/>
          <w:kern w:val="0"/>
          <w:sz w:val="24"/>
          <w:szCs w:val="28"/>
          <w:lang w:bidi="en-US"/>
        </w:rPr>
        <w:t>）</w:t>
      </w:r>
    </w:p>
    <w:p w14:paraId="7B24866B">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48EAFC50">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75D6DB85">
      <w:pPr>
        <w:pStyle w:val="7"/>
        <w:rPr>
          <w:b/>
          <w:color w:val="FF0000"/>
        </w:rPr>
      </w:pPr>
      <w:r>
        <w:rPr>
          <w:rFonts w:hint="eastAsia"/>
          <w:b/>
          <w:bCs w:val="0"/>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sz w:val="24"/>
                <w:szCs w:val="32"/>
              </w:rPr>
              <w:t>202</w:t>
            </w:r>
            <w:r>
              <w:rPr>
                <w:rFonts w:hint="eastAsia" w:ascii="Arial" w:hAnsi="Arial" w:cs="Arial"/>
                <w:sz w:val="24"/>
                <w:szCs w:val="32"/>
                <w:lang w:val="en-US" w:eastAsia="zh-CN"/>
              </w:rPr>
              <w:t>5</w:t>
            </w:r>
            <w:r>
              <w:rPr>
                <w:rFonts w:hint="eastAsia" w:ascii="Arial" w:hAnsi="Arial" w:cs="Arial"/>
                <w:sz w:val="24"/>
                <w:szCs w:val="32"/>
              </w:rPr>
              <w:t>年期刊报纸数据库服务</w:t>
            </w:r>
          </w:p>
        </w:tc>
        <w:tc>
          <w:tcPr>
            <w:tcW w:w="7759" w:type="dxa"/>
            <w:shd w:val="clear" w:color="auto" w:fill="auto"/>
            <w:noWrap/>
          </w:tcPr>
          <w:p w14:paraId="2EB297A6">
            <w:pPr>
              <w:adjustRightInd w:val="0"/>
              <w:snapToGrid w:val="0"/>
              <w:spacing w:line="360" w:lineRule="auto"/>
              <w:rPr>
                <w:rFonts w:asciiTheme="majorEastAsia" w:hAnsiTheme="majorEastAsia" w:eastAsiaTheme="majorEastAsia"/>
                <w:szCs w:val="21"/>
              </w:rPr>
            </w:pPr>
            <w:r>
              <w:rPr>
                <w:rFonts w:hint="eastAsia" w:asciiTheme="majorEastAsia" w:hAnsiTheme="majorEastAsia" w:eastAsiaTheme="majorEastAsia"/>
                <w:szCs w:val="21"/>
                <w:lang w:val="en-US" w:eastAsia="zh-CN"/>
              </w:rPr>
              <w:t>一</w:t>
            </w:r>
            <w:r>
              <w:rPr>
                <w:rFonts w:hint="eastAsia" w:asciiTheme="majorEastAsia" w:hAnsiTheme="majorEastAsia" w:eastAsiaTheme="majorEastAsia"/>
                <w:szCs w:val="21"/>
              </w:rPr>
              <w:t>、服务内容</w:t>
            </w:r>
          </w:p>
          <w:p w14:paraId="04142BC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1.支持数据检索，检索字段包含：主题、标题、刊名、作者、第一作者、机构、关键词、摘要、栏目、基金、正文；</w:t>
            </w:r>
          </w:p>
          <w:p w14:paraId="4DD743C0">
            <w:pPr>
              <w:pStyle w:val="21"/>
              <w:numPr>
                <w:ilvl w:val="0"/>
                <w:numId w:val="0"/>
              </w:numPr>
              <w:adjustRightInd w:val="0"/>
              <w:snapToGrid w:val="0"/>
              <w:spacing w:line="360" w:lineRule="auto"/>
              <w:ind w:leftChars="0"/>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2.支持“在结果中检索”；</w:t>
            </w:r>
          </w:p>
          <w:p w14:paraId="688D3C5E">
            <w:pPr>
              <w:pStyle w:val="21"/>
              <w:numPr>
                <w:ilvl w:val="0"/>
                <w:numId w:val="0"/>
              </w:numPr>
              <w:adjustRightInd w:val="0"/>
              <w:snapToGrid w:val="0"/>
              <w:spacing w:line="360" w:lineRule="auto"/>
              <w:ind w:leftChars="0"/>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3.检索结果，支持按照年份、学科、关键词、重要期刊、刊名、作者机构、作者、基金进行二次筛选；</w:t>
            </w:r>
          </w:p>
          <w:p w14:paraId="1409033E">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4.PC端检索结果需支持按默认排序、发表时间降序、发表时间升序、被引量排序、阅读量排序几种不同的排序来显示；</w:t>
            </w:r>
          </w:p>
          <w:p w14:paraId="50A9DD6B">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5.检索结果支持按年份、学科、关键词、重要期刊、刊名、作者机构、作者、基金进行二次筛选；</w:t>
            </w:r>
          </w:p>
          <w:p w14:paraId="0616E3C5">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6.PC端的高级检索支持五个检索条件同时检索；</w:t>
            </w:r>
          </w:p>
          <w:p w14:paraId="07054364">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7.PC端支持记录检索历史；</w:t>
            </w:r>
          </w:p>
          <w:p w14:paraId="68FF90D5">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8.PC端支持刊种内的年期导航，及刊种的分类导航；</w:t>
            </w:r>
          </w:p>
          <w:p w14:paraId="34E68BD4">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9.分类导航支持按作者、学科、关键词、机构、地区、基金等类型查看文献；</w:t>
            </w:r>
          </w:p>
          <w:p w14:paraId="7BA5A13D">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10.PC端支持刊内检索；</w:t>
            </w:r>
          </w:p>
          <w:p w14:paraId="1CF6BEB2">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11.PC端、移动端均具备期刊全文阅读功能，支持流媒体格式在线阅读、支持PDF格式下载；</w:t>
            </w:r>
          </w:p>
          <w:p w14:paraId="46B65CFD">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12.PC端全文页面支持文章目录导航/文内图表导航，点击目录导航/文内图表导航可定位至文章对应的内容位置；</w:t>
            </w:r>
          </w:p>
          <w:p w14:paraId="107A7FE5">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13.PC端支持期刊文章下载，且不用下载专用阅读器；</w:t>
            </w:r>
          </w:p>
          <w:p w14:paraId="46AF35D0">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14.PC端、移动端均支持“引用文本”，可以直接使用GB/T7714、MLA、APA三种不同的参考文献格式；</w:t>
            </w:r>
          </w:p>
          <w:p w14:paraId="6C2FA7DB">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15.支持对期刊及文献进行收藏云端同步，对收藏期刊可自行进行分类管理；</w:t>
            </w:r>
          </w:p>
          <w:p w14:paraId="3AF874F8">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16.移动端支持以瀑布流的形式查看每种刊物各年份各期的文章目录；</w:t>
            </w:r>
          </w:p>
          <w:p w14:paraId="5C1E9AA3">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17.移动端支持在线学术讨论交流，形成学术讨论共同体；</w:t>
            </w:r>
          </w:p>
          <w:p w14:paraId="6A97BCA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18.移动端，刊种、文章均具备点赞、评论功能，且点赞、评论、阅读数据实时更新；</w:t>
            </w:r>
          </w:p>
          <w:p w14:paraId="3DABCE1F">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19.移动端支持查看期刊收藏量及收藏的人，并支持关注对方实现在线交流；</w:t>
            </w:r>
          </w:p>
          <w:p w14:paraId="00C0763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20.移动端支持期刊全文转发至学习通交流群中；</w:t>
            </w:r>
          </w:p>
          <w:p w14:paraId="1390594E">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21.移动端支持将期刊全文转发至微信、朋友圈等第三方社交媒体平台；</w:t>
            </w:r>
          </w:p>
          <w:p w14:paraId="7537859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22.报价人需具备移动端应用（非微信公众平台），通过手机（支持安卓系统、IOS系统</w:t>
            </w:r>
            <w:r>
              <w:rPr>
                <w:rFonts w:hint="eastAsia" w:asciiTheme="majorEastAsia" w:hAnsiTheme="majorEastAsia" w:eastAsiaTheme="majorEastAsia"/>
                <w:szCs w:val="21"/>
                <w:highlight w:val="none"/>
                <w:lang w:val="en-US" w:eastAsia="zh-CN"/>
              </w:rPr>
              <w:t>、鸿蒙系统）、</w:t>
            </w:r>
            <w:r>
              <w:rPr>
                <w:rFonts w:hint="eastAsia" w:asciiTheme="majorEastAsia" w:hAnsiTheme="majorEastAsia" w:eastAsiaTheme="majorEastAsia"/>
                <w:szCs w:val="21"/>
                <w:lang w:val="en-US" w:eastAsia="zh-CN"/>
              </w:rPr>
              <w:t>平板电脑等多平台使用，具备检索功能，支持在线html格式阅读，全文内容为文本格式支持自由复制。</w:t>
            </w:r>
          </w:p>
          <w:p w14:paraId="11D6DB11">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24支持PC端、手机、Pad、歌德机等多终端数据同步。</w:t>
            </w:r>
          </w:p>
          <w:p w14:paraId="15F4C20F">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25.期刊除在自身数据库平台使用外，支持在数字图书馆门户首页的一站式资源检索框中检索并利用，形成多种数据资源的统一检索；</w:t>
            </w:r>
          </w:p>
          <w:p w14:paraId="57732B76">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26.无并发数、无下载量限制。</w:t>
            </w:r>
          </w:p>
          <w:p w14:paraId="69E553D2">
            <w:pPr>
              <w:pStyle w:val="21"/>
              <w:numPr>
                <w:ilvl w:val="0"/>
                <w:numId w:val="0"/>
              </w:numPr>
              <w:adjustRightInd w:val="0"/>
              <w:snapToGrid w:val="0"/>
              <w:spacing w:line="360" w:lineRule="auto"/>
              <w:ind w:leftChars="0"/>
              <w:rPr>
                <w:rFonts w:asciiTheme="majorEastAsia" w:hAnsiTheme="majorEastAsia" w:eastAsiaTheme="majorEastAsia"/>
                <w:szCs w:val="21"/>
              </w:rPr>
            </w:pPr>
            <w:r>
              <w:rPr>
                <w:rFonts w:hint="eastAsia" w:asciiTheme="majorEastAsia" w:hAnsiTheme="majorEastAsia" w:eastAsiaTheme="majorEastAsia"/>
                <w:szCs w:val="21"/>
                <w:lang w:val="en-US" w:eastAsia="zh-CN"/>
              </w:rPr>
              <w:t>27.</w:t>
            </w:r>
            <w:r>
              <w:rPr>
                <w:rFonts w:hint="eastAsia" w:asciiTheme="majorEastAsia" w:hAnsiTheme="majorEastAsia" w:eastAsiaTheme="majorEastAsia"/>
                <w:szCs w:val="21"/>
              </w:rPr>
              <w:t>报价人确保提供的电子期刊报纸符合国家及各级行政机构对电子期刊报纸的法律法规及文件要求,并能及时根据各级行政机构的政策调整对所提供的电子期刊报纸进行清查、下架处理。</w:t>
            </w:r>
          </w:p>
          <w:p w14:paraId="2412A7EB">
            <w:pPr>
              <w:spacing w:line="360" w:lineRule="auto"/>
              <w:rPr>
                <w:rFonts w:asciiTheme="majorEastAsia" w:hAnsiTheme="majorEastAsia" w:eastAsiaTheme="majorEastAsia"/>
                <w:bCs/>
                <w:szCs w:val="21"/>
              </w:rPr>
            </w:pPr>
            <w:r>
              <w:rPr>
                <w:rFonts w:hint="eastAsia" w:asciiTheme="majorEastAsia" w:hAnsiTheme="majorEastAsia" w:eastAsiaTheme="majorEastAsia"/>
                <w:bCs/>
                <w:szCs w:val="21"/>
              </w:rPr>
              <w:t>二、其他要求：</w:t>
            </w:r>
          </w:p>
          <w:p w14:paraId="53F6FE8E">
            <w:pPr>
              <w:pStyle w:val="21"/>
              <w:adjustRightInd w:val="0"/>
              <w:snapToGrid w:val="0"/>
              <w:spacing w:line="360" w:lineRule="auto"/>
              <w:ind w:firstLine="0" w:firstLineChars="0"/>
              <w:rPr>
                <w:rFonts w:asciiTheme="majorEastAsia" w:hAnsiTheme="majorEastAsia" w:eastAsiaTheme="majorEastAsia"/>
                <w:bCs/>
                <w:szCs w:val="21"/>
              </w:rPr>
            </w:pPr>
            <w:r>
              <w:rPr>
                <w:rFonts w:hint="eastAsia" w:asciiTheme="majorEastAsia" w:hAnsiTheme="majorEastAsia" w:eastAsiaTheme="majorEastAsia"/>
                <w:bCs/>
                <w:szCs w:val="21"/>
              </w:rPr>
              <w:t>1.具备授权期刊种数不低于6300种（需覆盖学术、教育、大众、综合类），其中教育类刊种不低于800种。北大核心期刊不低于1100种</w:t>
            </w:r>
            <w:r>
              <w:rPr>
                <w:rFonts w:hint="eastAsia" w:asciiTheme="majorEastAsia" w:hAnsiTheme="majorEastAsia" w:eastAsiaTheme="majorEastAsia"/>
                <w:bCs/>
                <w:szCs w:val="21"/>
                <w:lang w:eastAsia="zh-CN"/>
              </w:rPr>
              <w:t>。</w:t>
            </w:r>
            <w:r>
              <w:rPr>
                <w:rFonts w:hint="eastAsia" w:asciiTheme="majorEastAsia" w:hAnsiTheme="majorEastAsia" w:eastAsiaTheme="majorEastAsia" w:cstheme="minorBidi"/>
                <w:szCs w:val="21"/>
              </w:rPr>
              <w:t>移动端包含不少于300种报纸。</w:t>
            </w:r>
          </w:p>
          <w:p w14:paraId="7431E6FD">
            <w:pPr>
              <w:pStyle w:val="21"/>
              <w:adjustRightInd w:val="0"/>
              <w:snapToGrid w:val="0"/>
              <w:spacing w:line="360" w:lineRule="auto"/>
              <w:ind w:firstLine="0" w:firstLineChars="0"/>
              <w:rPr>
                <w:rFonts w:asciiTheme="majorEastAsia" w:hAnsiTheme="majorEastAsia" w:eastAsiaTheme="majorEastAsia"/>
                <w:bCs/>
                <w:szCs w:val="21"/>
              </w:rPr>
            </w:pPr>
            <w:r>
              <w:rPr>
                <w:rFonts w:hint="eastAsia" w:asciiTheme="majorEastAsia" w:hAnsiTheme="majorEastAsia" w:eastAsiaTheme="majorEastAsia"/>
                <w:bCs/>
                <w:szCs w:val="21"/>
              </w:rPr>
              <w:t>2.具有中华人民共和国出版物经营许可证（</w:t>
            </w:r>
            <w:r>
              <w:rPr>
                <w:rFonts w:hint="eastAsia" w:asciiTheme="majorEastAsia" w:hAnsiTheme="majorEastAsia" w:eastAsiaTheme="majorEastAsia"/>
                <w:b/>
                <w:bCs w:val="0"/>
                <w:color w:val="auto"/>
                <w:szCs w:val="21"/>
                <w:lang w:val="en-US" w:eastAsia="zh-CN"/>
              </w:rPr>
              <w:t>报价时需</w:t>
            </w:r>
            <w:r>
              <w:rPr>
                <w:rFonts w:hint="eastAsia" w:asciiTheme="majorEastAsia" w:hAnsiTheme="majorEastAsia" w:eastAsiaTheme="majorEastAsia"/>
                <w:b/>
                <w:bCs w:val="0"/>
                <w:color w:val="auto"/>
                <w:szCs w:val="21"/>
              </w:rPr>
              <w:t>提供中华人民共和国出版物经营许可证复印件并加盖公章，未提供</w:t>
            </w:r>
            <w:r>
              <w:rPr>
                <w:rFonts w:hint="eastAsia" w:asciiTheme="majorEastAsia" w:hAnsiTheme="majorEastAsia" w:eastAsiaTheme="majorEastAsia"/>
                <w:b/>
                <w:bCs w:val="0"/>
                <w:color w:val="auto"/>
                <w:szCs w:val="21"/>
                <w:lang w:val="en-US" w:eastAsia="zh-CN"/>
              </w:rPr>
              <w:t>则</w:t>
            </w:r>
            <w:r>
              <w:rPr>
                <w:rFonts w:hint="eastAsia" w:asciiTheme="majorEastAsia" w:hAnsiTheme="majorEastAsia" w:eastAsiaTheme="majorEastAsia"/>
                <w:b/>
                <w:bCs w:val="0"/>
                <w:color w:val="auto"/>
                <w:szCs w:val="21"/>
              </w:rPr>
              <w:t>视为报价无效</w:t>
            </w:r>
            <w:r>
              <w:rPr>
                <w:rFonts w:hint="eastAsia" w:asciiTheme="majorEastAsia" w:hAnsiTheme="majorEastAsia" w:eastAsiaTheme="majorEastAsia"/>
                <w:bCs/>
                <w:szCs w:val="21"/>
              </w:rPr>
              <w:t>）；</w:t>
            </w:r>
          </w:p>
          <w:p w14:paraId="0EE1C925">
            <w:pPr>
              <w:pStyle w:val="21"/>
              <w:adjustRightInd w:val="0"/>
              <w:snapToGrid w:val="0"/>
              <w:spacing w:line="360" w:lineRule="auto"/>
              <w:ind w:firstLine="0" w:firstLineChars="0"/>
              <w:rPr>
                <w:rFonts w:cs="Times New Roman"/>
                <w:sz w:val="24"/>
                <w:szCs w:val="24"/>
              </w:rPr>
            </w:pPr>
            <w:r>
              <w:rPr>
                <w:rFonts w:hint="eastAsia" w:asciiTheme="majorEastAsia" w:hAnsiTheme="majorEastAsia" w:eastAsiaTheme="majorEastAsia"/>
                <w:bCs/>
                <w:szCs w:val="21"/>
              </w:rPr>
              <w:t>3.</w:t>
            </w:r>
            <w:r>
              <w:rPr>
                <w:rFonts w:hint="eastAsia" w:asciiTheme="majorEastAsia" w:hAnsiTheme="majorEastAsia" w:eastAsiaTheme="majorEastAsia"/>
                <w:bCs/>
                <w:szCs w:val="21"/>
                <w:lang w:val="en-US" w:eastAsia="zh-CN"/>
              </w:rPr>
              <w:t>报价人</w:t>
            </w:r>
            <w:r>
              <w:rPr>
                <w:rFonts w:hint="eastAsia" w:asciiTheme="majorEastAsia" w:hAnsiTheme="majorEastAsia" w:eastAsiaTheme="majorEastAsia"/>
                <w:bCs/>
                <w:szCs w:val="21"/>
              </w:rPr>
              <w:t>需具备独自数字化加工能力（PDF格式、流媒体格式）。</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auto"/>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color w:val="auto"/>
                <w:sz w:val="21"/>
                <w:szCs w:val="21"/>
              </w:rPr>
              <w:t>1.</w:t>
            </w:r>
            <w:r>
              <w:rPr>
                <w:rFonts w:hint="eastAsia" w:cs="Times New Roman"/>
                <w:b/>
                <w:bCs/>
                <w:color w:val="auto"/>
                <w:sz w:val="21"/>
                <w:szCs w:val="21"/>
              </w:rPr>
              <w:t>服务交付时间</w:t>
            </w:r>
            <w:r>
              <w:rPr>
                <w:rFonts w:hint="eastAsia" w:cs="Times New Roman"/>
                <w:color w:val="auto"/>
                <w:sz w:val="21"/>
                <w:szCs w:val="21"/>
              </w:rPr>
              <w:t>：签订合同之日起</w:t>
            </w:r>
            <w:r>
              <w:rPr>
                <w:rFonts w:hint="eastAsia" w:cs="Times New Roman"/>
                <w:b/>
                <w:bCs/>
                <w:color w:val="auto"/>
                <w:sz w:val="21"/>
                <w:szCs w:val="21"/>
                <w:u w:val="single"/>
                <w:lang w:val="en-US" w:eastAsia="zh-CN"/>
              </w:rPr>
              <w:t>7</w:t>
            </w:r>
            <w:r>
              <w:rPr>
                <w:rFonts w:hint="eastAsia" w:cs="Times New Roman"/>
                <w:b/>
                <w:bCs/>
                <w:color w:val="auto"/>
                <w:sz w:val="21"/>
                <w:szCs w:val="21"/>
                <w:u w:val="single"/>
              </w:rPr>
              <w:t>日内</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壹年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壹</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7"/>
              <w:rPr>
                <w:rFonts w:cs="Times New Roman"/>
                <w:color w:val="auto"/>
                <w:sz w:val="21"/>
                <w:szCs w:val="21"/>
              </w:rPr>
            </w:pPr>
            <w:r>
              <w:rPr>
                <w:rFonts w:hint="eastAsia" w:cs="Times New Roman"/>
                <w:color w:val="auto"/>
                <w:sz w:val="21"/>
                <w:szCs w:val="21"/>
              </w:rPr>
              <w:t>2.</w:t>
            </w:r>
            <w:r>
              <w:rPr>
                <w:rFonts w:hint="eastAsia" w:cs="Times New Roman"/>
                <w:b/>
                <w:bCs/>
                <w:color w:val="auto"/>
                <w:sz w:val="21"/>
                <w:szCs w:val="21"/>
              </w:rPr>
              <w:t>技术支持和服务</w:t>
            </w:r>
            <w:r>
              <w:rPr>
                <w:rFonts w:hint="eastAsia" w:cs="Times New Roman"/>
                <w:color w:val="auto"/>
                <w:sz w:val="21"/>
                <w:szCs w:val="21"/>
              </w:rPr>
              <w:t>：</w:t>
            </w:r>
          </w:p>
          <w:p w14:paraId="5A9616EB">
            <w:pPr>
              <w:pStyle w:val="7"/>
              <w:rPr>
                <w:rFonts w:cs="Times New Roman"/>
                <w:color w:val="auto"/>
                <w:sz w:val="21"/>
                <w:szCs w:val="21"/>
              </w:rPr>
            </w:pPr>
            <w:r>
              <w:rPr>
                <w:rFonts w:hint="eastAsia" w:cs="Times New Roman"/>
                <w:color w:val="auto"/>
                <w:sz w:val="21"/>
                <w:szCs w:val="21"/>
              </w:rPr>
              <w:t>（1）电话、线上咨询。报价人为采购人提供技术援助，解答采购人在使用中遇到的问题，及时为采购人提出解决问题的方案。</w:t>
            </w:r>
          </w:p>
          <w:p w14:paraId="5904ABA3">
            <w:pPr>
              <w:pStyle w:val="7"/>
              <w:rPr>
                <w:rFonts w:cs="Times New Roman"/>
                <w:color w:val="auto"/>
                <w:sz w:val="21"/>
                <w:szCs w:val="21"/>
              </w:rPr>
            </w:pPr>
            <w:r>
              <w:rPr>
                <w:rFonts w:hint="eastAsia" w:cs="Times New Roman"/>
                <w:color w:val="auto"/>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7"/>
              <w:rPr>
                <w:rFonts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3</w:t>
            </w:r>
            <w:r>
              <w:rPr>
                <w:rFonts w:hint="eastAsia" w:cs="Times New Roman"/>
                <w:color w:val="auto"/>
                <w:sz w:val="21"/>
                <w:szCs w:val="21"/>
                <w:lang w:eastAsia="zh-CN"/>
              </w:rPr>
              <w:t>）</w:t>
            </w:r>
            <w:r>
              <w:rPr>
                <w:rFonts w:hint="eastAsia" w:cs="Times New Roman"/>
                <w:color w:val="auto"/>
                <w:sz w:val="21"/>
                <w:szCs w:val="21"/>
              </w:rPr>
              <w:t>质保期内报价人应免费为采购人提供平台功能升级及维护服务。</w:t>
            </w:r>
          </w:p>
          <w:p w14:paraId="583CB988">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5A9DBEEB">
            <w:pPr>
              <w:pStyle w:val="7"/>
              <w:rPr>
                <w:rFonts w:hint="eastAsia" w:cs="Times New Roman"/>
                <w:color w:val="auto"/>
                <w:sz w:val="21"/>
                <w:szCs w:val="21"/>
              </w:rPr>
            </w:pP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color w:val="auto"/>
                <w:sz w:val="21"/>
                <w:szCs w:val="21"/>
              </w:rPr>
            </w:pP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4504EF11">
            <w:pPr>
              <w:pStyle w:val="7"/>
              <w:rPr>
                <w:rFonts w:hint="eastAsia" w:cs="Times New Roman"/>
                <w:color w:val="auto"/>
                <w:sz w:val="21"/>
                <w:szCs w:val="21"/>
              </w:rPr>
            </w:pPr>
            <w:r>
              <w:rPr>
                <w:rFonts w:hint="eastAsia" w:cs="Times New Roman"/>
                <w:color w:val="auto"/>
                <w:sz w:val="21"/>
                <w:szCs w:val="21"/>
              </w:rPr>
              <w:t>知识库平台应符合国家及各级行政机构对信息管理系统的法律法规规定，报价人需及时对发现的漏洞进行补丁或系统免费更新，以防网络安全事故。报价人应以责任单位身份签署相关的</w:t>
            </w:r>
            <w:r>
              <w:rPr>
                <w:rFonts w:hint="eastAsia" w:cs="Times New Roman"/>
                <w:b/>
                <w:bCs/>
                <w:color w:val="auto"/>
                <w:sz w:val="21"/>
                <w:szCs w:val="21"/>
              </w:rPr>
              <w:t>《信息系统安全责任书》</w:t>
            </w:r>
            <w:r>
              <w:rPr>
                <w:rFonts w:hint="eastAsia" w:cs="Times New Roman"/>
                <w:b/>
                <w:bCs/>
                <w:color w:val="auto"/>
                <w:sz w:val="21"/>
                <w:szCs w:val="21"/>
              </w:rPr>
              <w:t>（</w:t>
            </w:r>
            <w:r>
              <w:rPr>
                <w:rFonts w:hint="eastAsia" w:cs="Times New Roman"/>
                <w:b/>
                <w:bCs/>
                <w:color w:val="auto"/>
                <w:sz w:val="21"/>
                <w:szCs w:val="21"/>
              </w:rPr>
              <w:t>附件1）</w:t>
            </w:r>
          </w:p>
          <w:p w14:paraId="64C89C6B">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4.</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pPr>
              <w:widowControl/>
              <w:adjustRightInd w:val="0"/>
              <w:snapToGrid w:val="0"/>
              <w:spacing w:line="520" w:lineRule="exact"/>
              <w:jc w:val="left"/>
              <w:rPr>
                <w:rFonts w:ascii="Arial" w:hAnsi="Arial" w:eastAsia="宋体" w:cs="Arial"/>
                <w:color w:val="auto"/>
                <w:kern w:val="0"/>
                <w:sz w:val="21"/>
                <w:szCs w:val="21"/>
              </w:rPr>
            </w:pPr>
            <w:r>
              <w:rPr>
                <w:rFonts w:hint="eastAsia" w:cs="Arial" w:asciiTheme="majorEastAsia" w:hAnsiTheme="majorEastAsia" w:eastAsiaTheme="majorEastAsia"/>
                <w:color w:val="auto"/>
                <w:kern w:val="0"/>
                <w:sz w:val="21"/>
                <w:szCs w:val="21"/>
              </w:rPr>
              <w:t>本项目无预付款，</w:t>
            </w:r>
            <w:r>
              <w:rPr>
                <w:rFonts w:hint="eastAsia" w:cs="Arial" w:asciiTheme="majorEastAsia" w:hAnsiTheme="majorEastAsia" w:eastAsiaTheme="majorEastAsia"/>
                <w:color w:val="auto"/>
                <w:kern w:val="0"/>
                <w:sz w:val="21"/>
                <w:szCs w:val="21"/>
                <w:lang w:val="en-US" w:eastAsia="zh-CN"/>
              </w:rPr>
              <w:t>整体</w:t>
            </w:r>
            <w:r>
              <w:rPr>
                <w:rFonts w:hint="eastAsia" w:cs="Arial" w:asciiTheme="majorEastAsia" w:hAnsiTheme="majorEastAsia" w:eastAsiaTheme="majorEastAsia"/>
                <w:color w:val="auto"/>
                <w:kern w:val="0"/>
                <w:sz w:val="21"/>
                <w:szCs w:val="21"/>
              </w:rPr>
              <w:t>服务</w:t>
            </w:r>
            <w:r>
              <w:rPr>
                <w:rFonts w:hint="eastAsia" w:cs="Arial" w:asciiTheme="majorEastAsia" w:hAnsiTheme="majorEastAsia" w:eastAsiaTheme="majorEastAsia"/>
                <w:color w:val="auto"/>
                <w:kern w:val="0"/>
                <w:sz w:val="21"/>
                <w:szCs w:val="21"/>
                <w:lang w:val="en-US" w:eastAsia="zh-CN"/>
              </w:rPr>
              <w:t>内容交付并</w:t>
            </w:r>
            <w:r>
              <w:rPr>
                <w:rFonts w:hint="eastAsia" w:cs="Arial" w:asciiTheme="majorEastAsia" w:hAnsiTheme="majorEastAsia" w:eastAsiaTheme="majorEastAsia"/>
                <w:color w:val="auto"/>
                <w:kern w:val="0"/>
                <w:sz w:val="21"/>
                <w:szCs w:val="21"/>
              </w:rPr>
              <w:t>验收</w:t>
            </w:r>
            <w:r>
              <w:rPr>
                <w:rFonts w:hint="eastAsia" w:cs="Arial" w:asciiTheme="majorEastAsia" w:hAnsiTheme="majorEastAsia" w:eastAsiaTheme="majorEastAsia"/>
                <w:color w:val="auto"/>
                <w:kern w:val="0"/>
                <w:sz w:val="21"/>
                <w:szCs w:val="21"/>
                <w:lang w:val="en-US" w:eastAsia="zh-CN"/>
              </w:rPr>
              <w:t>合格</w:t>
            </w:r>
            <w:r>
              <w:rPr>
                <w:rFonts w:hint="eastAsia" w:cs="Arial" w:asciiTheme="majorEastAsia" w:hAnsiTheme="majorEastAsia" w:eastAsiaTheme="majorEastAsia"/>
                <w:color w:val="auto"/>
                <w:kern w:val="0"/>
                <w:sz w:val="21"/>
                <w:szCs w:val="21"/>
              </w:rPr>
              <w:t>后支付合同总金额的95%首款，服务期满后支付合同总金额的5%尾款，被选中的报价人开具全额增值税专用发票给采购人，采购人收到发票后</w:t>
            </w:r>
            <w:r>
              <w:rPr>
                <w:rFonts w:hint="eastAsia" w:cs="Arial" w:asciiTheme="majorEastAsia" w:hAnsiTheme="majorEastAsia" w:eastAsiaTheme="majorEastAsia"/>
                <w:b/>
                <w:bCs/>
                <w:color w:val="auto"/>
                <w:kern w:val="0"/>
                <w:sz w:val="21"/>
                <w:szCs w:val="21"/>
                <w:u w:val="single"/>
              </w:rPr>
              <w:t>10个工作日内</w:t>
            </w:r>
            <w:r>
              <w:rPr>
                <w:rFonts w:hint="eastAsia" w:cs="Arial" w:asciiTheme="majorEastAsia" w:hAnsiTheme="majorEastAsia" w:eastAsiaTheme="majorEastAsia"/>
                <w:color w:val="auto"/>
                <w:kern w:val="0"/>
                <w:sz w:val="21"/>
                <w:szCs w:val="21"/>
              </w:rPr>
              <w:t>办理支付手续。</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5.</w:t>
            </w:r>
            <w:r>
              <w:rPr>
                <w:rFonts w:hint="eastAsia" w:ascii="Arial" w:hAnsi="Arial" w:eastAsia="宋体" w:cs="Arial"/>
                <w:b/>
                <w:bCs/>
                <w:color w:val="auto"/>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2DAC0F56">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16CD551E">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45AA78BC">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52F12789">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转账时注明：</w:t>
            </w:r>
            <w:r>
              <w:rPr>
                <w:rFonts w:hint="eastAsia" w:ascii="Arial" w:hAnsi="Arial" w:eastAsia="宋体" w:cs="Arial"/>
                <w:b/>
                <w:color w:val="auto"/>
                <w:kern w:val="0"/>
                <w:sz w:val="21"/>
                <w:szCs w:val="22"/>
              </w:rPr>
              <w:t>202</w:t>
            </w:r>
            <w:r>
              <w:rPr>
                <w:rFonts w:hint="eastAsia" w:ascii="Arial" w:hAnsi="Arial" w:eastAsia="宋体" w:cs="Arial"/>
                <w:b/>
                <w:color w:val="auto"/>
                <w:kern w:val="0"/>
                <w:sz w:val="21"/>
                <w:szCs w:val="22"/>
                <w:lang w:val="en-US" w:eastAsia="zh-CN"/>
              </w:rPr>
              <w:t>5</w:t>
            </w:r>
            <w:r>
              <w:rPr>
                <w:rFonts w:hint="eastAsia" w:ascii="Arial" w:hAnsi="Arial" w:eastAsia="宋体" w:cs="Arial"/>
                <w:b/>
                <w:color w:val="auto"/>
                <w:kern w:val="0"/>
                <w:sz w:val="21"/>
                <w:szCs w:val="22"/>
              </w:rPr>
              <w:t>年期刊报纸数据库服务</w:t>
            </w:r>
            <w:r>
              <w:rPr>
                <w:rFonts w:hint="eastAsia" w:ascii="Arial" w:hAnsi="Arial" w:eastAsia="宋体" w:cs="Arial"/>
                <w:b/>
                <w:color w:val="auto"/>
                <w:kern w:val="0"/>
                <w:sz w:val="21"/>
                <w:szCs w:val="22"/>
                <w:lang w:val="en-US" w:eastAsia="zh-CN"/>
              </w:rPr>
              <w:t>采购</w:t>
            </w:r>
            <w:r>
              <w:rPr>
                <w:rFonts w:hint="eastAsia" w:ascii="Arial" w:hAnsi="Arial" w:eastAsia="宋体" w:cs="Arial"/>
                <w:b/>
                <w:color w:val="auto"/>
                <w:kern w:val="0"/>
                <w:sz w:val="21"/>
                <w:szCs w:val="22"/>
              </w:rPr>
              <w:t>项目</w:t>
            </w:r>
            <w:r>
              <w:rPr>
                <w:rFonts w:hint="eastAsia" w:ascii="Arial" w:hAnsi="Arial" w:eastAsia="宋体" w:cs="Arial"/>
                <w:b w:val="0"/>
                <w:bCs/>
                <w:color w:val="auto"/>
                <w:kern w:val="0"/>
                <w:sz w:val="21"/>
                <w:szCs w:val="21"/>
              </w:rPr>
              <w:t>，采购编号</w:t>
            </w:r>
            <w:r>
              <w:rPr>
                <w:rFonts w:hint="eastAsia" w:ascii="Arial" w:hAnsi="Arial" w:cs="Arial"/>
                <w:b/>
                <w:kern w:val="0"/>
                <w:sz w:val="21"/>
                <w:szCs w:val="22"/>
                <w:lang w:val="en-US" w:eastAsia="zh-CN" w:bidi="en-US"/>
              </w:rPr>
              <w:t>LZPU</w:t>
            </w:r>
            <w:r>
              <w:rPr>
                <w:rFonts w:hint="eastAsia" w:ascii="Arial" w:hAnsi="Arial" w:cs="Arial"/>
                <w:b/>
                <w:kern w:val="0"/>
                <w:sz w:val="21"/>
                <w:szCs w:val="22"/>
                <w:lang w:bidi="en-US"/>
              </w:rPr>
              <w:t>2025-</w:t>
            </w:r>
            <w:r>
              <w:rPr>
                <w:rFonts w:hint="eastAsia" w:ascii="Arial" w:hAnsi="Arial" w:cs="Arial"/>
                <w:b/>
                <w:bCs/>
                <w:kern w:val="0"/>
                <w:sz w:val="21"/>
                <w:szCs w:val="22"/>
                <w:lang w:val="en-US" w:eastAsia="zh-CN" w:bidi="en-US"/>
              </w:rPr>
              <w:t>12</w:t>
            </w:r>
            <w:r>
              <w:rPr>
                <w:rFonts w:hint="eastAsia" w:ascii="Arial" w:hAnsi="Arial" w:eastAsia="宋体" w:cs="Arial"/>
                <w:b w:val="0"/>
                <w:bCs/>
                <w:color w:val="auto"/>
                <w:kern w:val="0"/>
                <w:sz w:val="21"/>
                <w:szCs w:val="21"/>
              </w:rPr>
              <w:t>履约保证金</w:t>
            </w:r>
          </w:p>
          <w:p w14:paraId="4D5F73AF">
            <w:pPr>
              <w:widowControl/>
              <w:adjustRightInd w:val="0"/>
              <w:snapToGrid w:val="0"/>
              <w:spacing w:line="520" w:lineRule="exact"/>
              <w:jc w:val="left"/>
              <w:rPr>
                <w:rFonts w:hint="eastAsia" w:cs="Times New Roman"/>
                <w:color w:val="auto"/>
                <w:sz w:val="21"/>
                <w:szCs w:val="21"/>
              </w:rPr>
            </w:pPr>
            <w:r>
              <w:rPr>
                <w:rFonts w:hint="eastAsia" w:ascii="Arial" w:hAnsi="Arial" w:eastAsia="宋体" w:cs="Arial"/>
                <w:color w:val="auto"/>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6.验收要求</w:t>
            </w:r>
          </w:p>
          <w:p w14:paraId="7648E5EF">
            <w:pPr>
              <w:widowControl/>
              <w:spacing w:line="360" w:lineRule="auto"/>
              <w:jc w:val="both"/>
              <w:textAlignment w:val="center"/>
              <w:rPr>
                <w:rStyle w:val="35"/>
                <w:rFonts w:hint="default"/>
                <w:color w:val="auto"/>
                <w:sz w:val="21"/>
                <w:szCs w:val="21"/>
                <w:lang w:bidi="ar"/>
              </w:rPr>
            </w:pPr>
            <w:r>
              <w:rPr>
                <w:rFonts w:hint="eastAsia" w:cs="Times New Roman"/>
                <w:color w:val="auto"/>
                <w:sz w:val="21"/>
                <w:szCs w:val="21"/>
                <w:lang w:val="en-US" w:eastAsia="zh-CN"/>
              </w:rPr>
              <w:t>（1）项目所提供的全部货物（含硬件、软件及服务）必须完全满足采购文件所述要求（除允许偏离项），如成交供应商在响应文件中有承诺正偏离的应按其正偏离内容执行。交付验收标准依次序对照适用标准为：</w:t>
            </w:r>
            <w:r>
              <w:rPr>
                <w:rStyle w:val="35"/>
                <w:rFonts w:hint="default"/>
                <w:color w:val="auto"/>
                <w:sz w:val="21"/>
                <w:szCs w:val="21"/>
                <w:lang w:bidi="ar"/>
              </w:rPr>
              <w:t>①符合现行国家相关标准、行业标准、地方标准或者其他标准、规范；②符合</w:t>
            </w:r>
            <w:r>
              <w:rPr>
                <w:rStyle w:val="35"/>
                <w:rFonts w:hint="eastAsia" w:eastAsia="宋体"/>
                <w:color w:val="auto"/>
                <w:sz w:val="21"/>
                <w:szCs w:val="21"/>
                <w:lang w:val="en-US" w:eastAsia="zh-CN" w:bidi="ar"/>
              </w:rPr>
              <w:t>采购</w:t>
            </w:r>
            <w:r>
              <w:rPr>
                <w:rStyle w:val="35"/>
                <w:rFonts w:hint="default"/>
                <w:color w:val="auto"/>
                <w:sz w:val="21"/>
                <w:szCs w:val="21"/>
                <w:lang w:bidi="ar"/>
              </w:rPr>
              <w:t>文件要求和</w:t>
            </w:r>
            <w:r>
              <w:rPr>
                <w:rStyle w:val="35"/>
                <w:rFonts w:hint="eastAsia" w:eastAsia="宋体"/>
                <w:color w:val="auto"/>
                <w:sz w:val="21"/>
                <w:szCs w:val="21"/>
                <w:lang w:val="en-US" w:eastAsia="zh-CN"/>
              </w:rPr>
              <w:t>应标</w:t>
            </w:r>
            <w:r>
              <w:rPr>
                <w:rStyle w:val="35"/>
                <w:rFonts w:hint="default"/>
                <w:color w:val="auto"/>
                <w:sz w:val="21"/>
                <w:szCs w:val="21"/>
                <w:lang w:bidi="ar"/>
              </w:rPr>
              <w:t>文件承诺。</w:t>
            </w:r>
          </w:p>
          <w:p w14:paraId="42E90DE7">
            <w:pPr>
              <w:pStyle w:val="21"/>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（2）</w:t>
            </w:r>
            <w:r>
              <w:rPr>
                <w:rStyle w:val="35"/>
                <w:rFonts w:hint="default"/>
                <w:color w:val="auto"/>
                <w:sz w:val="21"/>
                <w:szCs w:val="21"/>
                <w:lang w:bidi="ar"/>
              </w:rPr>
              <w:t>由采购人组织验收小组检查服务需求的落实情况。</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如</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供应商交付的软件需要对接学校身份认证统一系统，对接费用由</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供应商承担。</w:t>
            </w:r>
          </w:p>
          <w:p w14:paraId="67A65037">
            <w:pPr>
              <w:pStyle w:val="7"/>
              <w:rPr>
                <w:rFonts w:hint="eastAsia" w:cs="Times New Roman"/>
                <w:color w:val="auto"/>
                <w:sz w:val="21"/>
                <w:szCs w:val="21"/>
                <w:lang w:val="en-US" w:eastAsia="zh-CN"/>
              </w:rPr>
            </w:pPr>
            <w:r>
              <w:rPr>
                <w:rFonts w:hint="eastAsia" w:cs="Times New Roman"/>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color w:val="auto"/>
                <w:sz w:val="21"/>
                <w:szCs w:val="21"/>
                <w:lang w:val="en-US" w:eastAsia="zh-CN"/>
              </w:rPr>
            </w:pPr>
            <w:r>
              <w:rPr>
                <w:rFonts w:hint="eastAsia" w:cs="Times New Roman"/>
                <w:color w:val="auto"/>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eastAsia" w:cs="Times New Roman"/>
                <w:color w:val="auto"/>
                <w:sz w:val="21"/>
                <w:szCs w:val="21"/>
                <w:lang w:val="en-US" w:eastAsia="zh-CN"/>
              </w:rPr>
            </w:pPr>
            <w:r>
              <w:rPr>
                <w:rFonts w:hint="eastAsia" w:cs="Times New Roman"/>
                <w:color w:val="auto"/>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p w14:paraId="44AEA0B7">
            <w:pPr>
              <w:pStyle w:val="7"/>
              <w:rPr>
                <w:rFonts w:hint="default" w:cs="Times New Roman"/>
                <w:color w:val="auto"/>
                <w:sz w:val="21"/>
                <w:szCs w:val="21"/>
                <w:lang w:val="en-US" w:eastAsia="zh-CN"/>
              </w:rPr>
            </w:pPr>
            <w:r>
              <w:rPr>
                <w:rFonts w:hint="eastAsia" w:cs="Times New Roman"/>
                <w:color w:val="auto"/>
                <w:sz w:val="21"/>
                <w:szCs w:val="21"/>
                <w:lang w:val="en-US" w:eastAsia="zh-CN"/>
              </w:rPr>
              <w:t>（8）</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rPr>
              <w:t>所提供的项目实施方案及服务承诺内容在合同实施阶段必须严格执行。</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rPr>
              <w:t>应认真对待承诺内容，确保其真实性和可操作性，否则将承担相应的法律责任和违约后果。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63BFAC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6</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4</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color w:val="auto"/>
          <w:kern w:val="0"/>
          <w:sz w:val="24"/>
          <w:szCs w:val="28"/>
          <w:lang w:bidi="en-US"/>
        </w:rPr>
        <w:t>：</w:t>
      </w:r>
      <w:r>
        <w:rPr>
          <w:rFonts w:hint="eastAsia" w:ascii="Arial" w:hAnsi="Arial" w:eastAsia="宋体" w:cs="Arial"/>
          <w:b/>
          <w:bCs/>
          <w:color w:val="auto"/>
          <w:kern w:val="0"/>
          <w:sz w:val="24"/>
          <w:szCs w:val="28"/>
          <w:lang w:val="en-US" w:eastAsia="zh-CN" w:bidi="en-US"/>
        </w:rPr>
        <w:t>刘静春</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0772-</w:t>
      </w:r>
      <w:r>
        <w:rPr>
          <w:rFonts w:hint="eastAsia" w:ascii="Arial" w:hAnsi="Arial" w:eastAsia="宋体" w:cs="Arial"/>
          <w:b/>
          <w:bCs/>
          <w:color w:val="auto"/>
          <w:kern w:val="0"/>
          <w:sz w:val="24"/>
          <w:szCs w:val="28"/>
          <w:lang w:val="en-US" w:eastAsia="zh-CN" w:bidi="en-US"/>
        </w:rPr>
        <w:t>3156915</w:t>
      </w:r>
      <w:r>
        <w:rPr>
          <w:rFonts w:hint="eastAsia" w:ascii="Arial" w:hAnsi="Arial" w:eastAsia="宋体" w:cs="Arial"/>
          <w:bCs/>
          <w:color w:val="auto"/>
          <w:kern w:val="0"/>
          <w:sz w:val="24"/>
          <w:szCs w:val="28"/>
          <w:lang w:bidi="en-US"/>
        </w:rPr>
        <w:t xml:space="preserve"> </w:t>
      </w:r>
      <w:r>
        <w:rPr>
          <w:rFonts w:ascii="Arial" w:hAnsi="Arial" w:eastAsia="宋体" w:cs="Arial"/>
          <w:color w:val="auto"/>
          <w:kern w:val="0"/>
          <w:sz w:val="24"/>
          <w:szCs w:val="28"/>
        </w:rPr>
        <w:t xml:space="preserve"> 。</w:t>
      </w:r>
    </w:p>
    <w:p w14:paraId="54D8BAD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4C01A3FF">
      <w:pPr>
        <w:widowControl/>
        <w:ind w:firstLine="8794" w:firstLineChars="3650"/>
        <w:jc w:val="left"/>
        <w:rPr>
          <w:rFonts w:ascii="Arial" w:hAnsi="Arial" w:cs="Arial"/>
          <w:b/>
          <w:sz w:val="24"/>
          <w:szCs w:val="24"/>
        </w:rPr>
      </w:pPr>
      <w:r>
        <w:rPr>
          <w:rFonts w:ascii="Arial" w:hAnsi="Arial" w:cs="Arial"/>
          <w:b/>
          <w:sz w:val="24"/>
          <w:szCs w:val="24"/>
        </w:rPr>
        <w:t>柳州职业技</w:t>
      </w:r>
      <w:r>
        <w:rPr>
          <w:rFonts w:ascii="Arial" w:hAnsi="Arial" w:cs="Arial"/>
          <w:b/>
          <w:bCs w:val="0"/>
          <w:sz w:val="24"/>
          <w:szCs w:val="24"/>
        </w:rPr>
        <w:t>术</w:t>
      </w:r>
      <w:r>
        <w:rPr>
          <w:rFonts w:hint="eastAsia" w:ascii="Arial" w:hAnsi="Arial" w:eastAsia="宋体" w:cs="Arial"/>
          <w:b/>
          <w:bCs w:val="0"/>
          <w:kern w:val="0"/>
          <w:sz w:val="24"/>
          <w:szCs w:val="28"/>
        </w:rPr>
        <w:t>大学</w:t>
      </w:r>
    </w:p>
    <w:p w14:paraId="632692CB">
      <w:pPr>
        <w:widowControl/>
        <w:jc w:val="left"/>
        <w:rPr>
          <w:rFonts w:ascii="Arial" w:hAnsi="Arial" w:cs="Arial"/>
          <w:b/>
          <w:sz w:val="24"/>
          <w:szCs w:val="24"/>
        </w:rPr>
      </w:pPr>
      <w:r>
        <w:rPr>
          <w:rFonts w:ascii="Arial" w:hAnsi="Arial" w:cs="Arial"/>
          <w:b/>
          <w:sz w:val="24"/>
          <w:szCs w:val="24"/>
        </w:rPr>
        <w:t xml:space="preserve">    </w:t>
      </w:r>
    </w:p>
    <w:p w14:paraId="702A5BB5">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hint="eastAsia" w:ascii="Arial" w:hAnsi="Arial" w:cs="Arial"/>
          <w:b/>
          <w:sz w:val="24"/>
          <w:szCs w:val="24"/>
          <w:lang w:val="en-US" w:eastAsia="zh-CN"/>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5</w:t>
      </w:r>
      <w:r>
        <w:rPr>
          <w:rFonts w:ascii="Arial" w:hAnsi="Arial" w:cs="Arial"/>
          <w:b/>
          <w:sz w:val="24"/>
          <w:szCs w:val="24"/>
        </w:rPr>
        <w:t>月</w:t>
      </w:r>
      <w:r>
        <w:rPr>
          <w:rFonts w:hint="eastAsia" w:ascii="Arial" w:hAnsi="Arial" w:cs="Arial"/>
          <w:b/>
          <w:sz w:val="24"/>
          <w:szCs w:val="24"/>
          <w:lang w:val="en-US" w:eastAsia="zh-CN"/>
        </w:rPr>
        <w:t>26</w:t>
      </w:r>
      <w:r>
        <w:rPr>
          <w:rFonts w:ascii="Arial" w:hAnsi="Arial" w:cs="Arial"/>
          <w:b/>
          <w:sz w:val="24"/>
          <w:szCs w:val="24"/>
        </w:rPr>
        <w:t>日</w:t>
      </w:r>
    </w:p>
    <w:p w14:paraId="5FF1C473">
      <w:pPr>
        <w:widowControl/>
        <w:jc w:val="left"/>
        <w:rPr>
          <w:rFonts w:ascii="Arial" w:hAnsi="Arial" w:cs="Arial"/>
          <w:b/>
          <w:sz w:val="24"/>
          <w:szCs w:val="24"/>
        </w:rPr>
      </w:pPr>
    </w:p>
    <w:p w14:paraId="46F06167">
      <w:pPr>
        <w:widowControl/>
        <w:jc w:val="left"/>
        <w:rPr>
          <w:rFonts w:ascii="Arial" w:hAnsi="Arial" w:cs="Arial"/>
          <w:b/>
          <w:sz w:val="24"/>
          <w:szCs w:val="24"/>
        </w:rPr>
      </w:pPr>
    </w:p>
    <w:p w14:paraId="4B81EF1D">
      <w:pPr>
        <w:widowControl/>
        <w:jc w:val="left"/>
        <w:rPr>
          <w:rFonts w:ascii="Arial" w:hAnsi="Arial" w:cs="Arial"/>
          <w:b/>
          <w:sz w:val="24"/>
          <w:szCs w:val="24"/>
        </w:rPr>
      </w:pPr>
    </w:p>
    <w:p w14:paraId="179C707A">
      <w:pPr>
        <w:widowControl/>
        <w:jc w:val="left"/>
        <w:rPr>
          <w:rFonts w:ascii="Arial" w:hAnsi="Arial" w:cs="Arial"/>
          <w:b/>
          <w:sz w:val="24"/>
          <w:szCs w:val="24"/>
        </w:rPr>
      </w:pPr>
    </w:p>
    <w:p w14:paraId="540ABAEA">
      <w:pPr>
        <w:widowControl/>
        <w:jc w:val="left"/>
        <w:rPr>
          <w:rFonts w:ascii="Arial" w:hAnsi="Arial" w:cs="Arial"/>
          <w:b/>
          <w:sz w:val="24"/>
          <w:szCs w:val="24"/>
        </w:rPr>
      </w:pPr>
    </w:p>
    <w:p w14:paraId="5938D2BD">
      <w:pPr>
        <w:widowControl/>
        <w:jc w:val="left"/>
        <w:rPr>
          <w:rFonts w:ascii="Arial" w:hAnsi="Arial" w:cs="Arial"/>
          <w:b/>
          <w:sz w:val="24"/>
          <w:szCs w:val="24"/>
        </w:rPr>
      </w:pPr>
    </w:p>
    <w:p w14:paraId="393A6E34">
      <w:pPr>
        <w:widowControl/>
        <w:jc w:val="left"/>
        <w:rPr>
          <w:rFonts w:ascii="Arial" w:hAnsi="Arial" w:cs="Arial"/>
          <w:b/>
          <w:sz w:val="24"/>
          <w:szCs w:val="24"/>
        </w:rPr>
      </w:pPr>
    </w:p>
    <w:p w14:paraId="2F576207">
      <w:pPr>
        <w:widowControl/>
        <w:jc w:val="left"/>
        <w:rPr>
          <w:rFonts w:ascii="Arial" w:hAnsi="Arial" w:cs="Arial"/>
          <w:b/>
          <w:sz w:val="24"/>
          <w:szCs w:val="24"/>
        </w:rPr>
      </w:pPr>
    </w:p>
    <w:p w14:paraId="227DD91B">
      <w:pPr>
        <w:widowControl/>
        <w:jc w:val="left"/>
        <w:rPr>
          <w:rFonts w:ascii="Arial" w:hAnsi="Arial" w:cs="Arial"/>
          <w:b/>
          <w:sz w:val="24"/>
          <w:szCs w:val="24"/>
        </w:rPr>
      </w:pPr>
    </w:p>
    <w:p w14:paraId="22BB5D41">
      <w:pPr>
        <w:widowControl/>
        <w:jc w:val="left"/>
        <w:rPr>
          <w:rFonts w:ascii="Arial" w:hAnsi="Arial" w:cs="Arial"/>
          <w:b/>
          <w:sz w:val="24"/>
          <w:szCs w:val="24"/>
        </w:rPr>
      </w:pPr>
    </w:p>
    <w:p w14:paraId="638288B4">
      <w:pPr>
        <w:widowControl/>
        <w:jc w:val="left"/>
        <w:rPr>
          <w:rFonts w:ascii="Arial" w:hAnsi="Arial" w:cs="Arial"/>
          <w:b/>
          <w:sz w:val="24"/>
          <w:szCs w:val="24"/>
        </w:rPr>
      </w:pPr>
    </w:p>
    <w:p w14:paraId="73B4ABB8">
      <w:pPr>
        <w:widowControl/>
        <w:jc w:val="left"/>
        <w:rPr>
          <w:rFonts w:ascii="Arial" w:hAnsi="Arial" w:cs="Arial"/>
          <w:b/>
          <w:sz w:val="24"/>
          <w:szCs w:val="24"/>
        </w:rPr>
      </w:pPr>
    </w:p>
    <w:p w14:paraId="4C86B661">
      <w:pPr>
        <w:widowControl/>
        <w:jc w:val="left"/>
        <w:rPr>
          <w:rFonts w:ascii="Arial" w:hAnsi="Arial" w:cs="Arial"/>
          <w:b/>
          <w:sz w:val="24"/>
          <w:szCs w:val="24"/>
        </w:rPr>
      </w:pPr>
    </w:p>
    <w:p w14:paraId="27D3DBA8">
      <w:pPr>
        <w:widowControl/>
        <w:jc w:val="left"/>
        <w:rPr>
          <w:rFonts w:ascii="Arial" w:hAnsi="Arial" w:cs="Arial"/>
          <w:b/>
          <w:sz w:val="24"/>
          <w:szCs w:val="24"/>
        </w:rPr>
      </w:pPr>
    </w:p>
    <w:p w14:paraId="1B2BB3C7">
      <w:pPr>
        <w:widowControl/>
        <w:jc w:val="left"/>
        <w:rPr>
          <w:rFonts w:ascii="Arial" w:hAnsi="Arial" w:cs="Arial"/>
          <w:b/>
          <w:sz w:val="24"/>
          <w:szCs w:val="24"/>
        </w:rPr>
      </w:pPr>
    </w:p>
    <w:p w14:paraId="406BC263">
      <w:pPr>
        <w:widowControl/>
        <w:jc w:val="left"/>
        <w:rPr>
          <w:rFonts w:ascii="Arial" w:hAnsi="Arial" w:cs="Arial"/>
          <w:b/>
          <w:sz w:val="24"/>
          <w:szCs w:val="24"/>
        </w:rPr>
      </w:pPr>
    </w:p>
    <w:p w14:paraId="67E63547">
      <w:pPr>
        <w:widowControl/>
        <w:jc w:val="left"/>
        <w:rPr>
          <w:rFonts w:ascii="Arial" w:hAnsi="Arial" w:cs="Arial"/>
          <w:b/>
          <w:sz w:val="24"/>
          <w:szCs w:val="24"/>
        </w:rPr>
      </w:pPr>
    </w:p>
    <w:p w14:paraId="70FE8372">
      <w:pPr>
        <w:widowControl/>
        <w:jc w:val="left"/>
        <w:rPr>
          <w:rFonts w:ascii="Arial" w:hAnsi="Arial" w:cs="Arial"/>
          <w:b/>
          <w:sz w:val="24"/>
          <w:szCs w:val="24"/>
        </w:rPr>
      </w:pPr>
    </w:p>
    <w:p w14:paraId="7956C743">
      <w:pPr>
        <w:widowControl/>
        <w:jc w:val="left"/>
        <w:rPr>
          <w:rFonts w:ascii="Arial" w:hAnsi="Arial" w:cs="Arial"/>
          <w:b/>
          <w:sz w:val="24"/>
          <w:szCs w:val="24"/>
        </w:rPr>
      </w:pPr>
    </w:p>
    <w:p w14:paraId="3988992E">
      <w:pPr>
        <w:widowControl/>
        <w:jc w:val="left"/>
        <w:rPr>
          <w:rFonts w:ascii="Arial" w:hAnsi="Arial" w:cs="Arial"/>
          <w:b/>
          <w:sz w:val="24"/>
          <w:szCs w:val="24"/>
        </w:rPr>
      </w:pPr>
    </w:p>
    <w:p w14:paraId="7316372D">
      <w:pPr>
        <w:widowControl/>
        <w:jc w:val="left"/>
        <w:rPr>
          <w:rFonts w:ascii="Arial" w:hAnsi="Arial" w:cs="Arial"/>
          <w:b/>
          <w:sz w:val="24"/>
          <w:szCs w:val="24"/>
        </w:rPr>
      </w:pPr>
    </w:p>
    <w:p w14:paraId="4146087E">
      <w:pPr>
        <w:widowControl/>
        <w:jc w:val="left"/>
        <w:rPr>
          <w:rFonts w:ascii="Arial" w:hAnsi="Arial" w:cs="Arial"/>
          <w:b/>
          <w:sz w:val="24"/>
          <w:szCs w:val="24"/>
        </w:rPr>
      </w:pPr>
    </w:p>
    <w:p w14:paraId="328684C5">
      <w:pPr>
        <w:widowControl/>
        <w:jc w:val="left"/>
        <w:rPr>
          <w:rFonts w:ascii="Arial" w:hAnsi="Arial" w:cs="Arial"/>
          <w:b/>
          <w:sz w:val="24"/>
          <w:szCs w:val="24"/>
        </w:rPr>
      </w:pPr>
    </w:p>
    <w:p w14:paraId="7333AB9A">
      <w:pPr>
        <w:widowControl/>
        <w:jc w:val="left"/>
        <w:rPr>
          <w:rFonts w:ascii="Arial" w:hAnsi="Arial" w:cs="Arial"/>
          <w:b/>
          <w:sz w:val="24"/>
          <w:szCs w:val="24"/>
        </w:rPr>
      </w:pPr>
    </w:p>
    <w:p w14:paraId="017CE707">
      <w:pPr>
        <w:widowControl/>
        <w:jc w:val="left"/>
        <w:rPr>
          <w:rFonts w:ascii="Arial" w:hAnsi="Arial" w:cs="Arial"/>
          <w:b/>
          <w:sz w:val="24"/>
          <w:szCs w:val="24"/>
        </w:rPr>
      </w:pPr>
    </w:p>
    <w:p w14:paraId="05DBF427">
      <w:pPr>
        <w:widowControl/>
        <w:jc w:val="left"/>
        <w:rPr>
          <w:rFonts w:ascii="Arial" w:hAnsi="Arial" w:cs="Arial"/>
          <w:b/>
          <w:sz w:val="24"/>
          <w:szCs w:val="24"/>
        </w:rPr>
      </w:pPr>
    </w:p>
    <w:p w14:paraId="44767FB7">
      <w:pPr>
        <w:widowControl/>
        <w:jc w:val="left"/>
        <w:rPr>
          <w:rFonts w:ascii="Arial" w:hAnsi="Arial" w:cs="Arial"/>
          <w:b/>
          <w:sz w:val="24"/>
          <w:szCs w:val="24"/>
        </w:rPr>
      </w:pPr>
    </w:p>
    <w:p w14:paraId="5BF316D3">
      <w:pPr>
        <w:widowControl/>
        <w:jc w:val="left"/>
        <w:rPr>
          <w:rFonts w:ascii="Arial" w:hAnsi="Arial" w:cs="Arial"/>
          <w:b/>
          <w:sz w:val="24"/>
          <w:szCs w:val="24"/>
        </w:rPr>
      </w:pPr>
    </w:p>
    <w:p w14:paraId="651FED91">
      <w:pPr>
        <w:widowControl/>
        <w:jc w:val="left"/>
        <w:rPr>
          <w:rFonts w:ascii="Arial" w:hAnsi="Arial" w:cs="Arial"/>
          <w:b/>
          <w:sz w:val="24"/>
          <w:szCs w:val="24"/>
        </w:rPr>
      </w:pPr>
    </w:p>
    <w:p w14:paraId="0716256F">
      <w:pPr>
        <w:widowControl/>
        <w:jc w:val="left"/>
        <w:rPr>
          <w:rFonts w:ascii="Arial" w:hAnsi="Arial" w:cs="Arial"/>
          <w:b/>
          <w:sz w:val="24"/>
          <w:szCs w:val="24"/>
        </w:rPr>
      </w:pPr>
    </w:p>
    <w:p w14:paraId="3549D8AE">
      <w:pPr>
        <w:widowControl/>
        <w:jc w:val="left"/>
        <w:rPr>
          <w:rFonts w:ascii="Arial" w:hAnsi="Arial" w:cs="Arial"/>
          <w:b/>
          <w:sz w:val="24"/>
          <w:szCs w:val="24"/>
        </w:rPr>
      </w:pPr>
    </w:p>
    <w:p w14:paraId="4CB7E0E8">
      <w:pPr>
        <w:widowControl/>
        <w:jc w:val="left"/>
        <w:rPr>
          <w:rFonts w:ascii="Arial" w:hAnsi="Arial" w:cs="Arial"/>
          <w:b/>
          <w:sz w:val="24"/>
          <w:szCs w:val="24"/>
        </w:rPr>
      </w:pPr>
    </w:p>
    <w:p w14:paraId="40744314">
      <w:pPr>
        <w:widowControl/>
        <w:jc w:val="left"/>
        <w:rPr>
          <w:rFonts w:ascii="Arial" w:hAnsi="Arial" w:cs="Arial"/>
          <w:b/>
          <w:sz w:val="24"/>
          <w:szCs w:val="24"/>
        </w:rPr>
      </w:pPr>
    </w:p>
    <w:p w14:paraId="55AA8E4D">
      <w:pPr>
        <w:widowControl/>
        <w:jc w:val="left"/>
        <w:rPr>
          <w:rFonts w:ascii="Arial" w:hAnsi="Arial" w:cs="Arial"/>
          <w:b/>
          <w:sz w:val="24"/>
          <w:szCs w:val="24"/>
        </w:rPr>
      </w:pPr>
    </w:p>
    <w:p w14:paraId="5FFBB000">
      <w:pPr>
        <w:widowControl/>
        <w:jc w:val="left"/>
        <w:rPr>
          <w:rFonts w:ascii="Arial" w:hAnsi="Arial" w:cs="Arial"/>
          <w:b/>
          <w:sz w:val="24"/>
          <w:szCs w:val="24"/>
        </w:rPr>
      </w:pPr>
    </w:p>
    <w:p w14:paraId="27B99818">
      <w:pPr>
        <w:widowControl/>
        <w:jc w:val="left"/>
        <w:rPr>
          <w:rFonts w:ascii="Arial" w:hAnsi="Arial" w:cs="Arial"/>
          <w:b/>
          <w:sz w:val="24"/>
          <w:szCs w:val="24"/>
        </w:rPr>
      </w:pPr>
    </w:p>
    <w:p w14:paraId="3C83F5C9">
      <w:pPr>
        <w:widowControl/>
        <w:jc w:val="left"/>
        <w:rPr>
          <w:rFonts w:ascii="Arial" w:hAnsi="Arial" w:cs="Arial"/>
          <w:b/>
          <w:sz w:val="24"/>
          <w:szCs w:val="24"/>
        </w:rPr>
      </w:pPr>
    </w:p>
    <w:p w14:paraId="5F9D9C31">
      <w:pPr>
        <w:widowControl/>
        <w:jc w:val="left"/>
        <w:rPr>
          <w:rFonts w:ascii="Arial" w:hAnsi="Arial" w:cs="Arial"/>
          <w:b/>
          <w:sz w:val="24"/>
          <w:szCs w:val="24"/>
        </w:rPr>
      </w:pPr>
    </w:p>
    <w:p w14:paraId="5831EC07">
      <w:pPr>
        <w:tabs>
          <w:tab w:val="left" w:pos="312"/>
        </w:tabs>
        <w:jc w:val="left"/>
        <w:rPr>
          <w:rFonts w:ascii="黑体" w:eastAsia="黑体"/>
          <w:sz w:val="30"/>
          <w:szCs w:val="30"/>
        </w:rPr>
      </w:pPr>
      <w:r>
        <w:rPr>
          <w:rFonts w:ascii="黑体" w:eastAsia="黑体"/>
          <w:sz w:val="30"/>
          <w:szCs w:val="30"/>
        </w:rPr>
        <w:t>附件</w:t>
      </w:r>
      <w:r>
        <w:rPr>
          <w:rFonts w:hint="eastAsia" w:ascii="黑体" w:eastAsia="黑体"/>
          <w:sz w:val="30"/>
          <w:szCs w:val="30"/>
        </w:rPr>
        <w:t>1：信息系统安全责任书（格式）</w:t>
      </w:r>
    </w:p>
    <w:p w14:paraId="7D39C23C">
      <w:pPr>
        <w:jc w:val="center"/>
        <w:rPr>
          <w:rFonts w:ascii="黑体" w:eastAsia="黑体"/>
          <w:sz w:val="30"/>
          <w:szCs w:val="30"/>
        </w:rPr>
      </w:pPr>
      <w:r>
        <w:rPr>
          <w:rFonts w:hint="eastAsia" w:ascii="黑体" w:eastAsia="黑体"/>
          <w:sz w:val="30"/>
          <w:szCs w:val="30"/>
        </w:rPr>
        <w:t>信息系统安全责任书</w:t>
      </w:r>
    </w:p>
    <w:p w14:paraId="3CC5A854">
      <w:pPr>
        <w:jc w:val="center"/>
        <w:rPr>
          <w:rFonts w:ascii="黑体" w:eastAsia="黑体"/>
          <w:sz w:val="30"/>
          <w:szCs w:val="30"/>
        </w:rPr>
      </w:pPr>
    </w:p>
    <w:p w14:paraId="5D0C9992">
      <w:pPr>
        <w:rPr>
          <w:sz w:val="24"/>
        </w:rPr>
      </w:pPr>
      <w:r>
        <w:rPr>
          <w:rFonts w:hint="eastAsia"/>
          <w:sz w:val="24"/>
        </w:rPr>
        <w:t>监督管理单位：柳州职业技术</w:t>
      </w:r>
      <w:r>
        <w:rPr>
          <w:rFonts w:hint="eastAsia"/>
          <w:sz w:val="24"/>
          <w:lang w:val="en-US" w:eastAsia="zh-CN"/>
        </w:rPr>
        <w:t>大学</w:t>
      </w:r>
      <w:r>
        <w:rPr>
          <w:rFonts w:hint="eastAsia"/>
          <w:sz w:val="24"/>
        </w:rPr>
        <w:t>图书馆</w:t>
      </w:r>
    </w:p>
    <w:p w14:paraId="6D38F571">
      <w:pPr>
        <w:rPr>
          <w:sz w:val="24"/>
          <w:u w:val="single"/>
        </w:rPr>
      </w:pPr>
      <w:r>
        <w:rPr>
          <w:rFonts w:hint="eastAsia"/>
          <w:sz w:val="24"/>
        </w:rPr>
        <w:t>责任单位：</w:t>
      </w:r>
      <w:r>
        <w:rPr>
          <w:sz w:val="24"/>
          <w:u w:val="single"/>
        </w:rPr>
        <w:t xml:space="preserve">                      </w:t>
      </w:r>
    </w:p>
    <w:p w14:paraId="1F560DF9">
      <w:pPr>
        <w:ind w:firstLine="480" w:firstLineChars="200"/>
        <w:rPr>
          <w:sz w:val="24"/>
        </w:rPr>
      </w:pPr>
      <w:r>
        <w:rPr>
          <w:rFonts w:hint="eastAsia"/>
          <w:sz w:val="24"/>
        </w:rPr>
        <w:t>为明确各信息系统单位所应履行的安全管理责任，确保互联网络与信息安全，营造安全洁净的网络环境，根据《计算机信息网络国际联网安全保护管理办法》等有关法律法规的规定，责任单位认真落实如下责任：</w:t>
      </w:r>
    </w:p>
    <w:p w14:paraId="74F4338A">
      <w:pPr>
        <w:ind w:firstLine="480" w:firstLineChars="200"/>
        <w:rPr>
          <w:sz w:val="24"/>
        </w:rPr>
      </w:pPr>
      <w:r>
        <w:rPr>
          <w:rFonts w:hint="eastAsia"/>
          <w:sz w:val="24"/>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14:paraId="5D8F8EE3">
      <w:pPr>
        <w:ind w:firstLine="480" w:firstLineChars="200"/>
        <w:rPr>
          <w:sz w:val="24"/>
        </w:rPr>
      </w:pPr>
      <w:r>
        <w:rPr>
          <w:rFonts w:hint="eastAsia"/>
          <w:sz w:val="24"/>
        </w:rPr>
        <w:t>二、不得利用国际联网危害国家安全、泄漏国家秘密，不侵犯国家、社会、集体的利益和公民的合法权益，不从事违法犯罪活动。</w:t>
      </w:r>
    </w:p>
    <w:p w14:paraId="3CAEEE9D">
      <w:pPr>
        <w:ind w:firstLine="480" w:firstLineChars="200"/>
        <w:rPr>
          <w:sz w:val="24"/>
        </w:rPr>
      </w:pPr>
      <w:r>
        <w:rPr>
          <w:rFonts w:hint="eastAsia"/>
          <w:sz w:val="24"/>
        </w:rPr>
        <w:t>三、不得利用信息系统制作、复制、查阅和传播下列信息：</w:t>
      </w:r>
    </w:p>
    <w:p w14:paraId="0E12CC3D">
      <w:pPr>
        <w:ind w:firstLine="480" w:firstLineChars="200"/>
        <w:rPr>
          <w:sz w:val="24"/>
        </w:rPr>
      </w:pPr>
      <w:r>
        <w:rPr>
          <w:rFonts w:hint="eastAsia"/>
          <w:sz w:val="24"/>
        </w:rPr>
        <w:t xml:space="preserve">(一)煽动抗拒、破坏宪法和法律、行政法规实施的； </w:t>
      </w:r>
    </w:p>
    <w:p w14:paraId="44BDB6B1">
      <w:pPr>
        <w:rPr>
          <w:sz w:val="24"/>
        </w:rPr>
      </w:pPr>
      <w:r>
        <w:rPr>
          <w:rFonts w:hint="eastAsia"/>
          <w:sz w:val="24"/>
        </w:rPr>
        <w:t xml:space="preserve">    (二)煽动颠覆国家政权，推翻社会主义制度的； </w:t>
      </w:r>
    </w:p>
    <w:p w14:paraId="4613B62E">
      <w:pPr>
        <w:ind w:firstLine="480" w:firstLineChars="200"/>
        <w:rPr>
          <w:sz w:val="24"/>
        </w:rPr>
      </w:pPr>
      <w:r>
        <w:rPr>
          <w:rFonts w:hint="eastAsia"/>
          <w:sz w:val="24"/>
        </w:rPr>
        <w:t xml:space="preserve">(三)煽动分裂国家、破坏国家统一的； </w:t>
      </w:r>
    </w:p>
    <w:p w14:paraId="4F8A769F">
      <w:pPr>
        <w:ind w:firstLine="360" w:firstLineChars="150"/>
        <w:rPr>
          <w:sz w:val="24"/>
        </w:rPr>
      </w:pPr>
      <w:r>
        <w:rPr>
          <w:rFonts w:hint="eastAsia"/>
          <w:sz w:val="24"/>
        </w:rPr>
        <w:t xml:space="preserve"> (四)煽动民族仇恨、民族歧视，破坏民族团结的； </w:t>
      </w:r>
    </w:p>
    <w:p w14:paraId="0411B85E">
      <w:pPr>
        <w:ind w:firstLine="480" w:firstLineChars="200"/>
        <w:rPr>
          <w:sz w:val="24"/>
        </w:rPr>
      </w:pPr>
      <w:r>
        <w:rPr>
          <w:rFonts w:hint="eastAsia"/>
          <w:sz w:val="24"/>
        </w:rPr>
        <w:t>(五)捏造或者歪曲事实，散布谣言，扰乱社会秩序的；</w:t>
      </w:r>
    </w:p>
    <w:p w14:paraId="1D69FE54">
      <w:pPr>
        <w:ind w:firstLine="480" w:firstLineChars="200"/>
        <w:rPr>
          <w:sz w:val="24"/>
        </w:rPr>
      </w:pPr>
      <w:r>
        <w:rPr>
          <w:rFonts w:hint="eastAsia"/>
          <w:sz w:val="24"/>
        </w:rPr>
        <w:t xml:space="preserve">(六)宣扬封建迷信、淫秽、色情、赌博、暴力、凶杀、恐怖，教唆犯罪的； </w:t>
      </w:r>
    </w:p>
    <w:p w14:paraId="530ADDF2">
      <w:pPr>
        <w:ind w:firstLine="480" w:firstLineChars="200"/>
        <w:rPr>
          <w:sz w:val="24"/>
        </w:rPr>
      </w:pPr>
      <w:r>
        <w:rPr>
          <w:rFonts w:hint="eastAsia"/>
          <w:sz w:val="24"/>
        </w:rPr>
        <w:t xml:space="preserve">(七)公然侮辱他人或者捏造事实诽谤他人的； </w:t>
      </w:r>
    </w:p>
    <w:p w14:paraId="49085D84">
      <w:pPr>
        <w:ind w:firstLine="360" w:firstLineChars="150"/>
        <w:rPr>
          <w:sz w:val="24"/>
        </w:rPr>
      </w:pPr>
      <w:r>
        <w:rPr>
          <w:rFonts w:hint="eastAsia"/>
          <w:sz w:val="24"/>
        </w:rPr>
        <w:t xml:space="preserve"> (八)损害国家机关信誉的； </w:t>
      </w:r>
    </w:p>
    <w:p w14:paraId="0F3A2895">
      <w:pPr>
        <w:ind w:firstLine="360" w:firstLineChars="150"/>
        <w:rPr>
          <w:sz w:val="24"/>
        </w:rPr>
      </w:pPr>
      <w:r>
        <w:rPr>
          <w:rFonts w:hint="eastAsia"/>
          <w:sz w:val="24"/>
        </w:rPr>
        <w:t xml:space="preserve"> (九)其他违反宪法和法律、行政法规的。</w:t>
      </w:r>
    </w:p>
    <w:p w14:paraId="07EC8E3E">
      <w:pPr>
        <w:ind w:firstLine="480" w:firstLineChars="200"/>
        <w:rPr>
          <w:sz w:val="24"/>
        </w:rPr>
      </w:pPr>
      <w:r>
        <w:rPr>
          <w:rFonts w:hint="eastAsia"/>
          <w:sz w:val="24"/>
        </w:rPr>
        <w:t xml:space="preserve">四、不得从事下列危害计算机信息网络安全的活动： </w:t>
      </w:r>
    </w:p>
    <w:p w14:paraId="18FF3B2F">
      <w:pPr>
        <w:rPr>
          <w:sz w:val="24"/>
        </w:rPr>
      </w:pPr>
      <w:r>
        <w:rPr>
          <w:rFonts w:hint="eastAsia"/>
          <w:sz w:val="24"/>
        </w:rPr>
        <w:t xml:space="preserve">    (一)未经允许，进入计算机信息网络或者使用计算机信息网络资源的； </w:t>
      </w:r>
    </w:p>
    <w:p w14:paraId="7477A599">
      <w:pPr>
        <w:rPr>
          <w:sz w:val="24"/>
        </w:rPr>
      </w:pPr>
      <w:r>
        <w:rPr>
          <w:rFonts w:hint="eastAsia"/>
          <w:sz w:val="24"/>
        </w:rPr>
        <w:t xml:space="preserve">    (二)未经允许，对计算机信息网络功能进行删除、修改或者增加的； </w:t>
      </w:r>
    </w:p>
    <w:p w14:paraId="2F96D581">
      <w:pPr>
        <w:rPr>
          <w:sz w:val="24"/>
        </w:rPr>
      </w:pPr>
      <w:r>
        <w:rPr>
          <w:rFonts w:hint="eastAsia"/>
          <w:sz w:val="24"/>
        </w:rPr>
        <w:t xml:space="preserve">    (三)未经允许，对计算机信息网络中存储、处理或者传输的数据和应用程序进行删除、修改或者增加的； </w:t>
      </w:r>
    </w:p>
    <w:p w14:paraId="501D013A">
      <w:pPr>
        <w:ind w:firstLine="360" w:firstLineChars="150"/>
        <w:rPr>
          <w:sz w:val="24"/>
        </w:rPr>
      </w:pPr>
      <w:r>
        <w:rPr>
          <w:rFonts w:hint="eastAsia"/>
          <w:sz w:val="24"/>
        </w:rPr>
        <w:t xml:space="preserve"> (四)故意制作、传播计算机病毒等破坏性程序的； </w:t>
      </w:r>
    </w:p>
    <w:p w14:paraId="376613A6">
      <w:pPr>
        <w:ind w:firstLine="480" w:firstLineChars="200"/>
        <w:rPr>
          <w:sz w:val="24"/>
        </w:rPr>
      </w:pPr>
      <w:r>
        <w:rPr>
          <w:rFonts w:hint="eastAsia"/>
          <w:sz w:val="24"/>
        </w:rPr>
        <w:t>(五)其他危害计算机信息网络安全的。</w:t>
      </w:r>
    </w:p>
    <w:p w14:paraId="0BEC250E">
      <w:pPr>
        <w:ind w:firstLine="480" w:firstLineChars="200"/>
        <w:rPr>
          <w:sz w:val="24"/>
        </w:rPr>
      </w:pPr>
      <w:r>
        <w:rPr>
          <w:rFonts w:hint="eastAsia"/>
          <w:sz w:val="24"/>
        </w:rPr>
        <w:t>五、建立健全安全保护管理制度，落实各项安全保护技术措施，保障本系统的运行安全和信息安全。</w:t>
      </w:r>
    </w:p>
    <w:p w14:paraId="09A8F2FD">
      <w:pPr>
        <w:ind w:firstLine="480" w:firstLineChars="200"/>
        <w:rPr>
          <w:sz w:val="24"/>
        </w:rPr>
      </w:pPr>
    </w:p>
    <w:p w14:paraId="05D79D46">
      <w:pPr>
        <w:jc w:val="right"/>
        <w:rPr>
          <w:sz w:val="24"/>
        </w:rPr>
      </w:pPr>
      <w:r>
        <w:rPr>
          <w:rFonts w:hint="eastAsia"/>
          <w:sz w:val="24"/>
        </w:rPr>
        <w:t>监督责任单位：柳州职业技术</w:t>
      </w:r>
      <w:r>
        <w:rPr>
          <w:rFonts w:hint="eastAsia"/>
          <w:sz w:val="24"/>
          <w:lang w:val="en-US" w:eastAsia="zh-CN"/>
        </w:rPr>
        <w:t>大学</w:t>
      </w:r>
      <w:r>
        <w:rPr>
          <w:rFonts w:hint="eastAsia"/>
          <w:sz w:val="24"/>
        </w:rPr>
        <w:t xml:space="preserve">图书馆（盖章） </w:t>
      </w:r>
    </w:p>
    <w:p w14:paraId="35AEA15A">
      <w:pPr>
        <w:jc w:val="right"/>
        <w:rPr>
          <w:sz w:val="24"/>
        </w:rPr>
      </w:pPr>
    </w:p>
    <w:p w14:paraId="38A9BF6C">
      <w:pPr>
        <w:jc w:val="right"/>
        <w:rPr>
          <w:sz w:val="24"/>
        </w:rPr>
      </w:pPr>
      <w:r>
        <w:rPr>
          <w:rFonts w:hint="eastAsia"/>
          <w:sz w:val="24"/>
        </w:rPr>
        <w:t>责任单位法人代表：</w:t>
      </w:r>
      <w:r>
        <w:rPr>
          <w:sz w:val="24"/>
          <w:u w:val="single"/>
        </w:rPr>
        <w:t xml:space="preserve">                       </w:t>
      </w:r>
      <w:r>
        <w:rPr>
          <w:rFonts w:hint="eastAsia"/>
          <w:sz w:val="24"/>
        </w:rPr>
        <w:t>（盖章）</w:t>
      </w:r>
    </w:p>
    <w:p w14:paraId="59B455CC">
      <w:pPr>
        <w:jc w:val="right"/>
        <w:rPr>
          <w:sz w:val="24"/>
        </w:rPr>
      </w:pPr>
    </w:p>
    <w:p w14:paraId="13CB5800">
      <w:pPr>
        <w:ind w:firstLine="5040" w:firstLineChars="2100"/>
        <w:jc w:val="right"/>
        <w:rPr>
          <w:sz w:val="24"/>
        </w:rPr>
      </w:pPr>
      <w:r>
        <w:rPr>
          <w:rFonts w:hint="eastAsia"/>
          <w:sz w:val="24"/>
        </w:rPr>
        <w:t>202</w:t>
      </w:r>
      <w:r>
        <w:rPr>
          <w:rFonts w:hint="eastAsia"/>
          <w:sz w:val="24"/>
          <w:lang w:val="en-US" w:eastAsia="zh-CN"/>
        </w:rPr>
        <w:t>5</w:t>
      </w:r>
      <w:r>
        <w:rPr>
          <w:rFonts w:hint="eastAsia"/>
          <w:sz w:val="24"/>
        </w:rPr>
        <w:t>年    月   日</w:t>
      </w:r>
    </w:p>
    <w:p w14:paraId="005A23A7">
      <w:pPr>
        <w:jc w:val="left"/>
        <w:rPr>
          <w:sz w:val="36"/>
          <w:szCs w:val="36"/>
        </w:rPr>
      </w:pPr>
    </w:p>
    <w:p w14:paraId="7997E011">
      <w:pPr>
        <w:jc w:val="left"/>
        <w:rPr>
          <w:rFonts w:ascii="黑体" w:eastAsia="黑体"/>
          <w:sz w:val="36"/>
          <w:szCs w:val="36"/>
        </w:rPr>
      </w:pPr>
    </w:p>
    <w:p w14:paraId="0CE9566A">
      <w:pPr>
        <w:pStyle w:val="8"/>
      </w:pPr>
    </w:p>
    <w:p w14:paraId="423E3A04">
      <w:pPr>
        <w:pStyle w:val="8"/>
        <w:snapToGrid w:val="0"/>
        <w:spacing w:before="295" w:after="295" w:line="400" w:lineRule="exact"/>
        <w:rPr>
          <w:rFonts w:ascii="Arial" w:hAnsi="Arial" w:cs="Arial"/>
          <w:bCs/>
          <w:sz w:val="24"/>
          <w:szCs w:val="24"/>
        </w:rPr>
      </w:pPr>
    </w:p>
    <w:p w14:paraId="4591B3EC">
      <w:pPr>
        <w:pStyle w:val="9"/>
        <w:ind w:left="5250"/>
      </w:pPr>
    </w:p>
    <w:p w14:paraId="096496B2">
      <w:pPr>
        <w:pStyle w:val="7"/>
      </w:pPr>
    </w:p>
    <w:p w14:paraId="25FFD69B">
      <w:pPr>
        <w:pStyle w:val="7"/>
      </w:pPr>
    </w:p>
    <w:p w14:paraId="7ACAB170">
      <w:pPr>
        <w:spacing w:after="120"/>
        <w:jc w:val="left"/>
        <w:rPr>
          <w:b/>
          <w:sz w:val="44"/>
          <w:szCs w:val="36"/>
        </w:rPr>
      </w:pPr>
      <w:r>
        <w:rPr>
          <w:rFonts w:hint="eastAsia"/>
          <w:b/>
          <w:sz w:val="44"/>
          <w:szCs w:val="36"/>
        </w:rPr>
        <w:t xml:space="preserve">   </w:t>
      </w:r>
    </w:p>
    <w:p w14:paraId="1FF8B3DA">
      <w:pPr>
        <w:pStyle w:val="7"/>
        <w:jc w:val="center"/>
        <w:rPr>
          <w:b/>
          <w:sz w:val="44"/>
          <w:szCs w:val="36"/>
        </w:rPr>
      </w:pPr>
      <w:bookmarkStart w:id="0" w:name="_Toc254970556"/>
      <w:bookmarkStart w:id="1" w:name="_Toc107424598"/>
      <w:bookmarkStart w:id="2" w:name="_Toc254970697"/>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556E0EFD">
      <w:pPr>
        <w:jc w:val="left"/>
        <w:outlineLvl w:val="1"/>
        <w:rPr>
          <w:rFonts w:ascii="仿宋" w:hAnsi="仿宋" w:eastAsia="仿宋" w:cs="Times New Roman"/>
          <w:b/>
          <w:sz w:val="36"/>
          <w:szCs w:val="21"/>
        </w:rPr>
      </w:pPr>
    </w:p>
    <w:p w14:paraId="334CAEA6">
      <w:pPr>
        <w:jc w:val="left"/>
        <w:outlineLvl w:val="1"/>
        <w:rPr>
          <w:rFonts w:ascii="仿宋" w:hAnsi="仿宋" w:eastAsia="仿宋" w:cs="Times New Roman"/>
          <w:b/>
          <w:sz w:val="36"/>
          <w:szCs w:val="21"/>
        </w:rPr>
      </w:pPr>
    </w:p>
    <w:p w14:paraId="63293972">
      <w:pPr>
        <w:jc w:val="left"/>
        <w:outlineLvl w:val="1"/>
        <w:rPr>
          <w:rFonts w:ascii="仿宋" w:hAnsi="仿宋" w:eastAsia="仿宋" w:cs="Times New Roman"/>
          <w:b/>
          <w:sz w:val="36"/>
          <w:szCs w:val="21"/>
        </w:rPr>
      </w:pPr>
    </w:p>
    <w:p w14:paraId="5B484CCB">
      <w:pPr>
        <w:jc w:val="left"/>
        <w:outlineLvl w:val="1"/>
        <w:rPr>
          <w:rFonts w:ascii="仿宋" w:hAnsi="仿宋" w:eastAsia="仿宋" w:cs="Times New Roman"/>
          <w:b/>
          <w:sz w:val="36"/>
          <w:szCs w:val="21"/>
        </w:rPr>
      </w:pPr>
    </w:p>
    <w:p w14:paraId="325BCECB">
      <w:pPr>
        <w:jc w:val="left"/>
        <w:outlineLvl w:val="1"/>
        <w:rPr>
          <w:rFonts w:ascii="仿宋" w:hAnsi="仿宋" w:eastAsia="仿宋" w:cs="Times New Roman"/>
          <w:b/>
          <w:sz w:val="36"/>
          <w:szCs w:val="21"/>
        </w:rPr>
      </w:pPr>
    </w:p>
    <w:p w14:paraId="69D1C50B">
      <w:pPr>
        <w:jc w:val="left"/>
        <w:outlineLvl w:val="1"/>
        <w:rPr>
          <w:rFonts w:ascii="仿宋" w:hAnsi="仿宋" w:eastAsia="仿宋" w:cs="Times New Roman"/>
          <w:b/>
          <w:sz w:val="36"/>
          <w:szCs w:val="21"/>
        </w:rPr>
      </w:pPr>
    </w:p>
    <w:p w14:paraId="0E180804">
      <w:pPr>
        <w:jc w:val="left"/>
        <w:outlineLvl w:val="1"/>
        <w:rPr>
          <w:rFonts w:ascii="仿宋" w:hAnsi="仿宋" w:eastAsia="仿宋" w:cs="Times New Roman"/>
          <w:b/>
          <w:sz w:val="36"/>
          <w:szCs w:val="21"/>
        </w:rPr>
      </w:pPr>
    </w:p>
    <w:p w14:paraId="75B5DCEE">
      <w:pPr>
        <w:jc w:val="left"/>
        <w:outlineLvl w:val="1"/>
        <w:rPr>
          <w:rFonts w:ascii="仿宋" w:hAnsi="仿宋" w:eastAsia="仿宋" w:cs="Times New Roman"/>
          <w:b/>
          <w:sz w:val="36"/>
          <w:szCs w:val="21"/>
        </w:rPr>
      </w:pPr>
    </w:p>
    <w:p w14:paraId="486CC377">
      <w:pPr>
        <w:jc w:val="left"/>
        <w:outlineLvl w:val="1"/>
        <w:rPr>
          <w:rFonts w:ascii="仿宋" w:hAnsi="仿宋" w:eastAsia="仿宋" w:cs="Times New Roman"/>
          <w:b/>
          <w:sz w:val="36"/>
          <w:szCs w:val="21"/>
        </w:rPr>
      </w:pPr>
    </w:p>
    <w:p w14:paraId="1444A66A">
      <w:pPr>
        <w:jc w:val="left"/>
        <w:outlineLvl w:val="1"/>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066401"/>
            <w:bookmarkStart w:id="6" w:name="_Toc173211900"/>
            <w:bookmarkStart w:id="7" w:name="_Toc254970729"/>
            <w:bookmarkStart w:id="8" w:name="_Toc254970588"/>
            <w:bookmarkStart w:id="9" w:name="_Toc405905876"/>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173211903"/>
            <w:bookmarkStart w:id="12" w:name="_Toc171349581"/>
            <w:bookmarkStart w:id="13" w:name="_Toc254970732"/>
            <w:bookmarkStart w:id="14" w:name="_Toc173066404"/>
            <w:bookmarkStart w:id="15" w:name="_Toc25497059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405905880"/>
            <w:bookmarkStart w:id="18" w:name="_Toc254970592"/>
            <w:bookmarkStart w:id="19" w:name="_Toc171349582"/>
            <w:bookmarkStart w:id="20" w:name="_Toc173066405"/>
            <w:bookmarkStart w:id="21" w:name="_Toc173211904"/>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066406"/>
            <w:bookmarkStart w:id="26" w:name="_Toc173211905"/>
            <w:bookmarkStart w:id="27" w:name="_Toc405905882"/>
            <w:bookmarkStart w:id="28" w:name="_Toc254970593"/>
            <w:bookmarkStart w:id="29" w:name="_Toc254970734"/>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405905883"/>
            <w:bookmarkStart w:id="32" w:name="_Toc171349585"/>
            <w:bookmarkStart w:id="33" w:name="_Toc173066407"/>
            <w:bookmarkStart w:id="34" w:name="_Toc254970594"/>
            <w:bookmarkStart w:id="35" w:name="_Toc173211906"/>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254970736"/>
            <w:bookmarkStart w:id="38" w:name="_Toc405905884"/>
            <w:bookmarkStart w:id="39" w:name="_Toc171349586"/>
            <w:bookmarkStart w:id="40" w:name="_Toc173211907"/>
            <w:bookmarkStart w:id="41" w:name="_Toc173066408"/>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C6809D4"/>
    <w:rsid w:val="0C911AFA"/>
    <w:rsid w:val="0DE15120"/>
    <w:rsid w:val="0F7909A8"/>
    <w:rsid w:val="0FE93A22"/>
    <w:rsid w:val="105D1B31"/>
    <w:rsid w:val="1A675CCB"/>
    <w:rsid w:val="1AAB0964"/>
    <w:rsid w:val="1B912C21"/>
    <w:rsid w:val="1C6E7E29"/>
    <w:rsid w:val="1F2D6B06"/>
    <w:rsid w:val="1F752E36"/>
    <w:rsid w:val="22A52928"/>
    <w:rsid w:val="234A77AC"/>
    <w:rsid w:val="252218B8"/>
    <w:rsid w:val="25EA35B4"/>
    <w:rsid w:val="274E2D58"/>
    <w:rsid w:val="2B183A7F"/>
    <w:rsid w:val="2B5B3134"/>
    <w:rsid w:val="2C8F0B18"/>
    <w:rsid w:val="2CD63E90"/>
    <w:rsid w:val="303A0730"/>
    <w:rsid w:val="316424EB"/>
    <w:rsid w:val="33194A17"/>
    <w:rsid w:val="37FC2926"/>
    <w:rsid w:val="39124E76"/>
    <w:rsid w:val="3D271595"/>
    <w:rsid w:val="4EA26AF3"/>
    <w:rsid w:val="51D47688"/>
    <w:rsid w:val="54136297"/>
    <w:rsid w:val="5C1C2E1C"/>
    <w:rsid w:val="5DFD28D7"/>
    <w:rsid w:val="5EC6574C"/>
    <w:rsid w:val="6097791B"/>
    <w:rsid w:val="63772297"/>
    <w:rsid w:val="63EE34BC"/>
    <w:rsid w:val="667C28C9"/>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7907</Words>
  <Characters>8163</Characters>
  <Lines>47</Lines>
  <Paragraphs>13</Paragraphs>
  <TotalTime>3</TotalTime>
  <ScaleCrop>false</ScaleCrop>
  <LinksUpToDate>false</LinksUpToDate>
  <CharactersWithSpaces>9433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2025-05-26T08:42:17Z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748776341247488D99C65A0954A4AB80_12</vt:lpwstr>
  </property>
</Properties>
</file>