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关于柳州职业技术大学2025年度通识网络课程服务采购项目(编号LZPU2025-</w:t>
      </w:r>
      <w:r>
        <w:rPr>
          <w:rFonts w:hint="eastAsia" w:ascii="宋体" w:hAnsi="宋体" w:eastAsia="宋体" w:cs="宋体"/>
          <w:b/>
          <w:bCs/>
          <w:sz w:val="36"/>
          <w:szCs w:val="36"/>
          <w:lang w:val="en-US" w:eastAsia="zh-CN" w:bidi="ar"/>
        </w:rPr>
        <w:t>8</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8</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二、项目名称：2025年度通识网络课程服务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25"/>
        <w:gridCol w:w="2356"/>
        <w:gridCol w:w="2318"/>
        <w:gridCol w:w="5059"/>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80000</w:t>
            </w:r>
            <w:r>
              <w:rPr>
                <w:rFonts w:hint="eastAsia" w:asciiTheme="minorEastAsia" w:hAnsiTheme="minorEastAsia"/>
                <w:sz w:val="28"/>
                <w:szCs w:val="28"/>
              </w:rPr>
              <w:t xml:space="preserve"> .00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广西超星信息技术有限公司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南宁市鲁班路95号南宁</w:t>
            </w:r>
            <w:bookmarkStart w:id="0" w:name="_GoBack"/>
            <w:bookmarkEnd w:id="0"/>
            <w:r>
              <w:rPr>
                <w:rFonts w:hint="eastAsia" w:asciiTheme="minorEastAsia" w:hAnsiTheme="minorEastAsia"/>
                <w:sz w:val="28"/>
                <w:szCs w:val="28"/>
                <w:lang w:val="en-US" w:eastAsia="zh-CN"/>
              </w:rPr>
              <w:t>禾田信息港4号研发办公楼二十层2001号房</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sz w:val="28"/>
          <w:szCs w:val="28"/>
        </w:rPr>
      </w:pPr>
      <w:r>
        <w:rPr>
          <w:rFonts w:hint="eastAsia" w:asciiTheme="minorEastAsia" w:hAnsiTheme="minorEastAsia"/>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   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5212208C"/>
    <w:rsid w:val="55702A2B"/>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280</Words>
  <Characters>313</Characters>
  <Lines>3</Lines>
  <Paragraphs>1</Paragraphs>
  <TotalTime>48</TotalTime>
  <ScaleCrop>false</ScaleCrop>
  <LinksUpToDate>false</LinksUpToDate>
  <CharactersWithSpaces>443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2025-05-15T08:36:07Z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